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D003D" w14:textId="0432BC04" w:rsidR="00AC4F37" w:rsidRPr="009E74AA" w:rsidRDefault="0015538B" w:rsidP="00AC4F37">
      <w:pPr>
        <w:spacing w:after="0"/>
        <w:jc w:val="center"/>
        <w:rPr>
          <w:rFonts w:ascii="Times New Roman" w:hAnsi="Times New Roman" w:cs="Times New Roman"/>
          <w:b/>
          <w:lang w:val="en-GB"/>
        </w:rPr>
      </w:pPr>
      <w:r w:rsidRPr="009E74AA">
        <w:rPr>
          <w:rFonts w:ascii="Times New Roman" w:hAnsi="Times New Roman" w:cs="Times New Roman"/>
          <w:b/>
          <w:lang w:val="en-GB"/>
        </w:rPr>
        <w:t>EVALUATION PLAN</w:t>
      </w:r>
    </w:p>
    <w:p w14:paraId="016EF670" w14:textId="225A8D95" w:rsidR="00987588" w:rsidRPr="009E74AA" w:rsidRDefault="0015538B" w:rsidP="00AC4F37">
      <w:pPr>
        <w:spacing w:after="0"/>
        <w:jc w:val="center"/>
        <w:rPr>
          <w:rFonts w:ascii="Times New Roman" w:hAnsi="Times New Roman" w:cs="Times New Roman"/>
          <w:b/>
          <w:lang w:val="en-GB"/>
        </w:rPr>
      </w:pPr>
      <w:r w:rsidRPr="009E74AA">
        <w:rPr>
          <w:rFonts w:ascii="Times New Roman" w:hAnsi="Times New Roman" w:cs="Times New Roman"/>
          <w:b/>
          <w:lang w:val="en-GB"/>
        </w:rPr>
        <w:t xml:space="preserve">FOR THE </w:t>
      </w:r>
      <w:r w:rsidR="00A336F6" w:rsidRPr="009E74AA">
        <w:rPr>
          <w:rFonts w:ascii="Times New Roman" w:hAnsi="Times New Roman" w:cs="Times New Roman"/>
          <w:b/>
          <w:lang w:val="en-GB"/>
        </w:rPr>
        <w:t xml:space="preserve">2021–2027 </w:t>
      </w:r>
      <w:r w:rsidRPr="009E74AA">
        <w:rPr>
          <w:rFonts w:ascii="Times New Roman" w:hAnsi="Times New Roman" w:cs="Times New Roman"/>
          <w:b/>
          <w:lang w:val="en-GB"/>
        </w:rPr>
        <w:t xml:space="preserve">PROGRAMMES OF THE </w:t>
      </w:r>
      <w:r w:rsidR="005D7689" w:rsidRPr="009E74AA">
        <w:rPr>
          <w:rFonts w:ascii="Times New Roman" w:hAnsi="Times New Roman" w:cs="Times New Roman"/>
          <w:b/>
          <w:lang w:val="en-GB"/>
        </w:rPr>
        <w:t>INSTRUMENT</w:t>
      </w:r>
      <w:r w:rsidRPr="009E74AA">
        <w:rPr>
          <w:rFonts w:ascii="Times New Roman" w:hAnsi="Times New Roman" w:cs="Times New Roman"/>
          <w:b/>
          <w:lang w:val="en-GB"/>
        </w:rPr>
        <w:t xml:space="preserve"> </w:t>
      </w:r>
      <w:r w:rsidR="00A336F6">
        <w:rPr>
          <w:rFonts w:ascii="Times New Roman" w:hAnsi="Times New Roman" w:cs="Times New Roman"/>
          <w:b/>
          <w:lang w:val="en-GB"/>
        </w:rPr>
        <w:t xml:space="preserve">FOR </w:t>
      </w:r>
      <w:r w:rsidR="00A336F6" w:rsidRPr="00A336F6">
        <w:rPr>
          <w:rFonts w:ascii="Times New Roman" w:hAnsi="Times New Roman" w:cs="Times New Roman"/>
          <w:b/>
        </w:rPr>
        <w:t xml:space="preserve">FINANCIAL SUPPORT FOR </w:t>
      </w:r>
      <w:r w:rsidR="00A336F6" w:rsidRPr="009E74AA">
        <w:rPr>
          <w:rFonts w:ascii="Times New Roman" w:hAnsi="Times New Roman" w:cs="Times New Roman"/>
          <w:b/>
          <w:lang w:val="en-GB"/>
        </w:rPr>
        <w:t xml:space="preserve">BORDER MANAGEMENT AND VISA </w:t>
      </w:r>
      <w:r w:rsidR="00A336F6">
        <w:rPr>
          <w:rFonts w:ascii="Times New Roman" w:hAnsi="Times New Roman" w:cs="Times New Roman"/>
          <w:b/>
          <w:lang w:val="en-GB"/>
        </w:rPr>
        <w:t>POLICY, AS PART OF</w:t>
      </w:r>
      <w:r w:rsidRPr="009E74AA">
        <w:rPr>
          <w:rFonts w:ascii="Times New Roman" w:hAnsi="Times New Roman" w:cs="Times New Roman"/>
          <w:b/>
          <w:lang w:val="en-GB"/>
        </w:rPr>
        <w:t xml:space="preserve"> THE INTEGRATED BORDER MANAGEMENT FUND</w:t>
      </w:r>
      <w:r w:rsidR="00A336F6">
        <w:rPr>
          <w:rFonts w:ascii="Times New Roman" w:hAnsi="Times New Roman" w:cs="Times New Roman"/>
          <w:b/>
          <w:lang w:val="en-GB"/>
        </w:rPr>
        <w:t>,</w:t>
      </w:r>
      <w:r w:rsidRPr="009E74AA">
        <w:rPr>
          <w:rFonts w:ascii="Times New Roman" w:hAnsi="Times New Roman" w:cs="Times New Roman"/>
          <w:b/>
          <w:lang w:val="en-GB"/>
        </w:rPr>
        <w:t xml:space="preserve"> AND </w:t>
      </w:r>
      <w:r w:rsidR="005D7689" w:rsidRPr="009E74AA">
        <w:rPr>
          <w:rFonts w:ascii="Times New Roman" w:hAnsi="Times New Roman" w:cs="Times New Roman"/>
          <w:b/>
          <w:lang w:val="en-GB"/>
        </w:rPr>
        <w:t xml:space="preserve">OF </w:t>
      </w:r>
      <w:r w:rsidRPr="009E74AA">
        <w:rPr>
          <w:rFonts w:ascii="Times New Roman" w:hAnsi="Times New Roman" w:cs="Times New Roman"/>
          <w:b/>
          <w:lang w:val="en-GB"/>
        </w:rPr>
        <w:t xml:space="preserve">THE INTERNAL SECURITY FUND </w:t>
      </w:r>
    </w:p>
    <w:p w14:paraId="18F0C4BD" w14:textId="77777777" w:rsidR="001278D2" w:rsidRPr="009E74AA" w:rsidRDefault="001278D2" w:rsidP="00AC4F37">
      <w:pPr>
        <w:spacing w:after="0"/>
        <w:jc w:val="center"/>
        <w:rPr>
          <w:rFonts w:ascii="Times New Roman" w:hAnsi="Times New Roman" w:cs="Times New Roman"/>
          <w:b/>
          <w:lang w:val="en-GB"/>
        </w:rPr>
      </w:pPr>
    </w:p>
    <w:p w14:paraId="67B833EA" w14:textId="77777777" w:rsidR="00AC4F37" w:rsidRPr="009E74AA" w:rsidRDefault="00AC4F37" w:rsidP="00C951F1">
      <w:pPr>
        <w:spacing w:after="0"/>
        <w:rPr>
          <w:rFonts w:ascii="Times New Roman" w:hAnsi="Times New Roman" w:cs="Times New Roman"/>
          <w:lang w:val="en-GB"/>
        </w:rPr>
      </w:pPr>
    </w:p>
    <w:tbl>
      <w:tblPr>
        <w:tblStyle w:val="TableGrid"/>
        <w:tblW w:w="14454" w:type="dxa"/>
        <w:tblLook w:val="04A0" w:firstRow="1" w:lastRow="0" w:firstColumn="1" w:lastColumn="0" w:noHBand="0" w:noVBand="1"/>
      </w:tblPr>
      <w:tblGrid>
        <w:gridCol w:w="3114"/>
        <w:gridCol w:w="11340"/>
      </w:tblGrid>
      <w:tr w:rsidR="00162AD8" w:rsidRPr="009E74AA" w14:paraId="563F52B7" w14:textId="77777777" w:rsidTr="007701D5">
        <w:tc>
          <w:tcPr>
            <w:tcW w:w="3114" w:type="dxa"/>
            <w:shd w:val="clear" w:color="auto" w:fill="F2F2F2" w:themeFill="background1" w:themeFillShade="F2"/>
          </w:tcPr>
          <w:p w14:paraId="20AC98A0" w14:textId="4C48CC36" w:rsidR="00162AD8" w:rsidRPr="009E74AA" w:rsidRDefault="005D7689" w:rsidP="009D02D8">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 xml:space="preserve">Objective of the Evaluation Plan </w:t>
            </w:r>
          </w:p>
        </w:tc>
        <w:tc>
          <w:tcPr>
            <w:tcW w:w="11340" w:type="dxa"/>
          </w:tcPr>
          <w:p w14:paraId="1867F09E" w14:textId="2953CAD4" w:rsidR="00162AD8" w:rsidRPr="009E74AA" w:rsidRDefault="005D7689" w:rsidP="007A3562">
            <w:pPr>
              <w:pStyle w:val="ListParagraph"/>
              <w:numPr>
                <w:ilvl w:val="1"/>
                <w:numId w:val="1"/>
              </w:numPr>
              <w:jc w:val="both"/>
              <w:rPr>
                <w:rFonts w:ascii="Times New Roman" w:hAnsi="Times New Roman" w:cs="Times New Roman"/>
                <w:lang w:val="en-GB"/>
              </w:rPr>
            </w:pPr>
            <w:r w:rsidRPr="009E74AA">
              <w:rPr>
                <w:rFonts w:ascii="Times New Roman" w:hAnsi="Times New Roman" w:cs="Times New Roman"/>
                <w:lang w:val="en-GB"/>
              </w:rPr>
              <w:t xml:space="preserve">Planning the evaluation </w:t>
            </w:r>
            <w:r w:rsidR="0016785F" w:rsidRPr="009E74AA">
              <w:rPr>
                <w:rFonts w:ascii="Times New Roman" w:hAnsi="Times New Roman" w:cs="Times New Roman"/>
                <w:lang w:val="en-GB"/>
              </w:rPr>
              <w:t xml:space="preserve">process for </w:t>
            </w:r>
            <w:r w:rsidRPr="009E74AA">
              <w:rPr>
                <w:rFonts w:ascii="Times New Roman" w:hAnsi="Times New Roman" w:cs="Times New Roman"/>
                <w:lang w:val="en-GB"/>
              </w:rPr>
              <w:t xml:space="preserve">the </w:t>
            </w:r>
            <w:r w:rsidR="00846DF8" w:rsidRPr="009E74AA">
              <w:rPr>
                <w:rFonts w:ascii="Times New Roman" w:hAnsi="Times New Roman" w:cs="Times New Roman"/>
                <w:lang w:val="en-GB"/>
              </w:rPr>
              <w:t xml:space="preserve">2021–2027 </w:t>
            </w:r>
            <w:r w:rsidRPr="009E74AA">
              <w:rPr>
                <w:rFonts w:ascii="Times New Roman" w:hAnsi="Times New Roman" w:cs="Times New Roman"/>
                <w:lang w:val="en-GB"/>
              </w:rPr>
              <w:t xml:space="preserve">programmes </w:t>
            </w:r>
            <w:r w:rsidR="0016785F" w:rsidRPr="009E74AA">
              <w:rPr>
                <w:rFonts w:ascii="Times New Roman" w:hAnsi="Times New Roman" w:cs="Times New Roman"/>
                <w:lang w:val="en-GB"/>
              </w:rPr>
              <w:t xml:space="preserve">of the </w:t>
            </w:r>
            <w:r w:rsidR="007A3562" w:rsidRPr="009E74AA">
              <w:rPr>
                <w:rFonts w:ascii="Times New Roman" w:hAnsi="Times New Roman" w:cs="Times New Roman"/>
                <w:lang w:val="en-GB"/>
              </w:rPr>
              <w:t xml:space="preserve">Instrument </w:t>
            </w:r>
            <w:r w:rsidR="007A3562">
              <w:rPr>
                <w:rFonts w:ascii="Times New Roman" w:hAnsi="Times New Roman" w:cs="Times New Roman"/>
                <w:lang w:val="en-GB"/>
              </w:rPr>
              <w:t>for Financial S</w:t>
            </w:r>
            <w:r w:rsidR="007A3562" w:rsidRPr="007A3562">
              <w:rPr>
                <w:rFonts w:ascii="Times New Roman" w:hAnsi="Times New Roman" w:cs="Times New Roman"/>
                <w:lang w:val="en-GB"/>
              </w:rPr>
              <w:t xml:space="preserve">upport for </w:t>
            </w:r>
            <w:r w:rsidR="0016785F" w:rsidRPr="009E74AA">
              <w:rPr>
                <w:rFonts w:ascii="Times New Roman" w:hAnsi="Times New Roman" w:cs="Times New Roman"/>
                <w:lang w:val="en-GB"/>
              </w:rPr>
              <w:t xml:space="preserve">Border Management and Visa </w:t>
            </w:r>
            <w:r w:rsidR="007A3562">
              <w:rPr>
                <w:rFonts w:ascii="Times New Roman" w:hAnsi="Times New Roman" w:cs="Times New Roman"/>
                <w:lang w:val="en-GB"/>
              </w:rPr>
              <w:t xml:space="preserve">Policy, as part of </w:t>
            </w:r>
            <w:r w:rsidR="0016785F" w:rsidRPr="009E74AA">
              <w:rPr>
                <w:rFonts w:ascii="Times New Roman" w:hAnsi="Times New Roman" w:cs="Times New Roman"/>
                <w:lang w:val="en-GB"/>
              </w:rPr>
              <w:t>the Integrated Border Management Fund (BMVI)</w:t>
            </w:r>
            <w:r w:rsidR="00846DF8">
              <w:rPr>
                <w:rFonts w:ascii="Times New Roman" w:hAnsi="Times New Roman" w:cs="Times New Roman"/>
                <w:lang w:val="en-GB"/>
              </w:rPr>
              <w:t>,</w:t>
            </w:r>
            <w:r w:rsidR="0016785F" w:rsidRPr="009E74AA">
              <w:rPr>
                <w:rFonts w:ascii="Times New Roman" w:hAnsi="Times New Roman" w:cs="Times New Roman"/>
                <w:lang w:val="en-GB"/>
              </w:rPr>
              <w:t xml:space="preserve"> and the Internal Security Fund (ISF) (hereinafter collectively referred to as the ‘Programmes</w:t>
            </w:r>
            <w:r w:rsidR="0029763C" w:rsidRPr="009E74AA">
              <w:rPr>
                <w:rFonts w:ascii="Times New Roman" w:hAnsi="Times New Roman" w:cs="Times New Roman"/>
                <w:lang w:val="en-GB"/>
              </w:rPr>
              <w:t>’</w:t>
            </w:r>
            <w:r w:rsidR="0016785F" w:rsidRPr="009E74AA">
              <w:rPr>
                <w:rFonts w:ascii="Times New Roman" w:hAnsi="Times New Roman" w:cs="Times New Roman"/>
                <w:lang w:val="en-GB"/>
              </w:rPr>
              <w:t>)</w:t>
            </w:r>
            <w:r w:rsidR="00162AD8" w:rsidRPr="009E74AA">
              <w:rPr>
                <w:rFonts w:ascii="Times New Roman" w:hAnsi="Times New Roman" w:cs="Times New Roman"/>
                <w:lang w:val="en-GB"/>
              </w:rPr>
              <w:t>;</w:t>
            </w:r>
          </w:p>
          <w:p w14:paraId="6686A39B" w14:textId="173B4311" w:rsidR="00162AD8" w:rsidRPr="009E74AA" w:rsidRDefault="00162AD8" w:rsidP="00FB0367">
            <w:pPr>
              <w:pStyle w:val="ListParagraph"/>
              <w:numPr>
                <w:ilvl w:val="1"/>
                <w:numId w:val="1"/>
              </w:numPr>
              <w:spacing w:after="120"/>
              <w:ind w:left="312" w:hanging="357"/>
              <w:rPr>
                <w:rFonts w:ascii="Times New Roman" w:hAnsi="Times New Roman" w:cs="Times New Roman"/>
                <w:lang w:val="en-GB"/>
              </w:rPr>
            </w:pPr>
            <w:r w:rsidRPr="009E74AA">
              <w:rPr>
                <w:rFonts w:ascii="Times New Roman" w:hAnsi="Times New Roman" w:cs="Times New Roman"/>
                <w:lang w:val="en-GB"/>
              </w:rPr>
              <w:t>Inform</w:t>
            </w:r>
            <w:r w:rsidR="0016785F" w:rsidRPr="009E74AA">
              <w:rPr>
                <w:rFonts w:ascii="Times New Roman" w:hAnsi="Times New Roman" w:cs="Times New Roman"/>
                <w:lang w:val="en-GB"/>
              </w:rPr>
              <w:t xml:space="preserve">ing the European Commission, </w:t>
            </w:r>
            <w:r w:rsidRPr="009E74AA">
              <w:rPr>
                <w:rFonts w:ascii="Times New Roman" w:hAnsi="Times New Roman" w:cs="Times New Roman"/>
                <w:lang w:val="en-GB"/>
              </w:rPr>
              <w:t>partner</w:t>
            </w:r>
            <w:r w:rsidR="0016785F" w:rsidRPr="009E74AA">
              <w:rPr>
                <w:rFonts w:ascii="Times New Roman" w:hAnsi="Times New Roman" w:cs="Times New Roman"/>
                <w:lang w:val="en-GB"/>
              </w:rPr>
              <w:t>s and the public about the planned evaluations of the Programmes.</w:t>
            </w:r>
          </w:p>
        </w:tc>
      </w:tr>
      <w:tr w:rsidR="00C951F1" w:rsidRPr="009E74AA" w14:paraId="2671EAFE" w14:textId="77777777" w:rsidTr="007701D5">
        <w:tc>
          <w:tcPr>
            <w:tcW w:w="3114" w:type="dxa"/>
            <w:shd w:val="clear" w:color="auto" w:fill="F2F2F2" w:themeFill="background1" w:themeFillShade="F2"/>
          </w:tcPr>
          <w:p w14:paraId="5655156A" w14:textId="664C4AD8" w:rsidR="00C951F1" w:rsidRPr="009E74AA" w:rsidRDefault="0016785F" w:rsidP="009D02D8">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Programmes under evaluation</w:t>
            </w:r>
          </w:p>
        </w:tc>
        <w:tc>
          <w:tcPr>
            <w:tcW w:w="11340" w:type="dxa"/>
          </w:tcPr>
          <w:p w14:paraId="192362AB" w14:textId="5FA57611" w:rsidR="009D02D8" w:rsidRPr="009E74AA" w:rsidRDefault="0016785F" w:rsidP="00DB1CF8">
            <w:pPr>
              <w:pStyle w:val="ListParagraph"/>
              <w:numPr>
                <w:ilvl w:val="1"/>
                <w:numId w:val="1"/>
              </w:numPr>
              <w:ind w:left="316"/>
              <w:rPr>
                <w:rFonts w:ascii="Times New Roman" w:hAnsi="Times New Roman" w:cs="Times New Roman"/>
                <w:lang w:val="en-GB"/>
              </w:rPr>
            </w:pPr>
            <w:r w:rsidRPr="009E74AA">
              <w:rPr>
                <w:rFonts w:ascii="Times New Roman" w:hAnsi="Times New Roman" w:cs="Times New Roman"/>
                <w:lang w:val="en-GB"/>
              </w:rPr>
              <w:t>BMVI Programme for</w:t>
            </w:r>
            <w:r w:rsidR="009D02D8" w:rsidRPr="009E74AA">
              <w:rPr>
                <w:rFonts w:ascii="Times New Roman" w:hAnsi="Times New Roman" w:cs="Times New Roman"/>
                <w:lang w:val="en-GB"/>
              </w:rPr>
              <w:t xml:space="preserve"> 2021–2027 </w:t>
            </w:r>
            <w:r w:rsidR="00DB1CF8" w:rsidRPr="009E74AA">
              <w:rPr>
                <w:rFonts w:ascii="Times New Roman" w:hAnsi="Times New Roman" w:cs="Times New Roman"/>
                <w:lang w:val="en-GB"/>
              </w:rPr>
              <w:t>(</w:t>
            </w:r>
            <w:r w:rsidRPr="009E74AA">
              <w:rPr>
                <w:rFonts w:ascii="Times New Roman" w:hAnsi="Times New Roman" w:cs="Times New Roman"/>
                <w:lang w:val="en-GB"/>
              </w:rPr>
              <w:t>the Programme is published on</w:t>
            </w:r>
            <w:r w:rsidR="00DB1CF8" w:rsidRPr="009E74AA">
              <w:rPr>
                <w:rFonts w:ascii="Times New Roman" w:hAnsi="Times New Roman" w:cs="Times New Roman"/>
                <w:lang w:val="en-GB"/>
              </w:rPr>
              <w:t xml:space="preserve"> </w:t>
            </w:r>
            <w:hyperlink r:id="rId7" w:history="1">
              <w:r w:rsidR="00DB1CF8" w:rsidRPr="009E74AA">
                <w:rPr>
                  <w:rStyle w:val="Hyperlink"/>
                  <w:rFonts w:ascii="Times New Roman" w:hAnsi="Times New Roman" w:cs="Times New Roman"/>
                  <w:lang w:val="en-GB"/>
                </w:rPr>
                <w:t>https://www.isf.lt/svvp-programa</w:t>
              </w:r>
            </w:hyperlink>
            <w:r w:rsidR="00DB1CF8" w:rsidRPr="009E74AA">
              <w:rPr>
                <w:rFonts w:ascii="Times New Roman" w:hAnsi="Times New Roman" w:cs="Times New Roman"/>
                <w:lang w:val="en-GB"/>
              </w:rPr>
              <w:t>)</w:t>
            </w:r>
            <w:r w:rsidR="009D02D8" w:rsidRPr="009E74AA">
              <w:rPr>
                <w:rFonts w:ascii="Times New Roman" w:hAnsi="Times New Roman" w:cs="Times New Roman"/>
                <w:lang w:val="en-GB"/>
              </w:rPr>
              <w:t>;</w:t>
            </w:r>
          </w:p>
          <w:p w14:paraId="7D8D07D1" w14:textId="0E98EF2D" w:rsidR="00C951F1" w:rsidRPr="009E74AA" w:rsidRDefault="0016785F" w:rsidP="00846DF8">
            <w:pPr>
              <w:pStyle w:val="ListParagraph"/>
              <w:numPr>
                <w:ilvl w:val="1"/>
                <w:numId w:val="1"/>
              </w:numPr>
              <w:spacing w:after="120"/>
              <w:ind w:left="312" w:hanging="357"/>
              <w:rPr>
                <w:rFonts w:ascii="Times New Roman" w:hAnsi="Times New Roman" w:cs="Times New Roman"/>
                <w:lang w:val="en-GB"/>
              </w:rPr>
            </w:pPr>
            <w:r w:rsidRPr="009E74AA">
              <w:rPr>
                <w:rFonts w:ascii="Times New Roman" w:hAnsi="Times New Roman" w:cs="Times New Roman"/>
                <w:lang w:val="en-GB"/>
              </w:rPr>
              <w:t>ISF Programme for</w:t>
            </w:r>
            <w:r w:rsidR="00162AD8" w:rsidRPr="009E74AA">
              <w:rPr>
                <w:rFonts w:ascii="Times New Roman" w:hAnsi="Times New Roman" w:cs="Times New Roman"/>
                <w:lang w:val="en-GB"/>
              </w:rPr>
              <w:t xml:space="preserve"> </w:t>
            </w:r>
            <w:r w:rsidR="009D02D8" w:rsidRPr="009E74AA">
              <w:rPr>
                <w:rFonts w:ascii="Times New Roman" w:hAnsi="Times New Roman" w:cs="Times New Roman"/>
                <w:lang w:val="en-GB"/>
              </w:rPr>
              <w:t xml:space="preserve">2021–2027 </w:t>
            </w:r>
            <w:r w:rsidRPr="009E74AA">
              <w:rPr>
                <w:rFonts w:ascii="Times New Roman" w:hAnsi="Times New Roman" w:cs="Times New Roman"/>
                <w:lang w:val="en-GB"/>
              </w:rPr>
              <w:t>(the Programme is published on</w:t>
            </w:r>
            <w:r w:rsidR="00DB1CF8" w:rsidRPr="009E74AA">
              <w:rPr>
                <w:rFonts w:ascii="Times New Roman" w:hAnsi="Times New Roman" w:cs="Times New Roman"/>
                <w:lang w:val="en-GB"/>
              </w:rPr>
              <w:t xml:space="preserve"> </w:t>
            </w:r>
            <w:hyperlink r:id="rId8" w:history="1">
              <w:r w:rsidR="00DB1CF8" w:rsidRPr="009E74AA">
                <w:rPr>
                  <w:rStyle w:val="Hyperlink"/>
                  <w:rFonts w:ascii="Times New Roman" w:hAnsi="Times New Roman" w:cs="Times New Roman"/>
                  <w:lang w:val="en-GB"/>
                </w:rPr>
                <w:t>https://www.isf.lt/vidaus-saugumo-fondo-programa</w:t>
              </w:r>
            </w:hyperlink>
            <w:r w:rsidR="00DB1CF8" w:rsidRPr="009E74AA">
              <w:rPr>
                <w:rFonts w:ascii="Times New Roman" w:hAnsi="Times New Roman" w:cs="Times New Roman"/>
                <w:lang w:val="en-GB"/>
              </w:rPr>
              <w:t>)</w:t>
            </w:r>
            <w:r w:rsidR="009D02D8" w:rsidRPr="009E74AA">
              <w:rPr>
                <w:rFonts w:ascii="Times New Roman" w:hAnsi="Times New Roman" w:cs="Times New Roman"/>
                <w:lang w:val="en-GB"/>
              </w:rPr>
              <w:t>.</w:t>
            </w:r>
          </w:p>
        </w:tc>
      </w:tr>
      <w:tr w:rsidR="00162AD8" w:rsidRPr="009E74AA" w14:paraId="6A2380A4" w14:textId="77777777" w:rsidTr="007701D5">
        <w:tc>
          <w:tcPr>
            <w:tcW w:w="3114" w:type="dxa"/>
            <w:shd w:val="clear" w:color="auto" w:fill="F2F2F2" w:themeFill="background1" w:themeFillShade="F2"/>
          </w:tcPr>
          <w:p w14:paraId="7B50D4BB" w14:textId="420DCAA5" w:rsidR="00162AD8" w:rsidRPr="009E74AA" w:rsidRDefault="0016785F" w:rsidP="00261C0B">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 xml:space="preserve">Types and timing of evaluations </w:t>
            </w:r>
          </w:p>
        </w:tc>
        <w:tc>
          <w:tcPr>
            <w:tcW w:w="11340" w:type="dxa"/>
          </w:tcPr>
          <w:p w14:paraId="66FE0E8E" w14:textId="78C2E273" w:rsidR="00162AD8" w:rsidRPr="009E74AA" w:rsidRDefault="0016785F" w:rsidP="00FB0367">
            <w:pPr>
              <w:pStyle w:val="ListParagraph"/>
              <w:numPr>
                <w:ilvl w:val="1"/>
                <w:numId w:val="1"/>
              </w:numPr>
              <w:spacing w:after="120"/>
              <w:ind w:left="318" w:hanging="357"/>
              <w:rPr>
                <w:rFonts w:ascii="Times New Roman" w:hAnsi="Times New Roman" w:cs="Times New Roman"/>
                <w:lang w:val="en-GB"/>
              </w:rPr>
            </w:pPr>
            <w:r w:rsidRPr="009E74AA">
              <w:rPr>
                <w:rFonts w:ascii="Times New Roman" w:hAnsi="Times New Roman" w:cs="Times New Roman"/>
                <w:lang w:val="en-GB"/>
              </w:rPr>
              <w:t>Mid-term evaluation</w:t>
            </w:r>
            <w:r w:rsidR="00162AD8" w:rsidRPr="009E74AA">
              <w:rPr>
                <w:rFonts w:ascii="Times New Roman" w:hAnsi="Times New Roman" w:cs="Times New Roman"/>
                <w:lang w:val="en-GB"/>
              </w:rPr>
              <w:t xml:space="preserve"> – </w:t>
            </w:r>
            <w:r w:rsidRPr="009E74AA">
              <w:rPr>
                <w:rFonts w:ascii="Times New Roman" w:hAnsi="Times New Roman" w:cs="Times New Roman"/>
                <w:lang w:val="en-GB"/>
              </w:rPr>
              <w:t>by 31 March</w:t>
            </w:r>
            <w:r w:rsidR="00162AD8" w:rsidRPr="009E74AA">
              <w:rPr>
                <w:rFonts w:ascii="Times New Roman" w:hAnsi="Times New Roman" w:cs="Times New Roman"/>
                <w:lang w:val="en-GB"/>
              </w:rPr>
              <w:t xml:space="preserve"> 2024 </w:t>
            </w:r>
            <w:r w:rsidR="00B771E2" w:rsidRPr="009E74AA">
              <w:rPr>
                <w:rFonts w:ascii="Times New Roman" w:hAnsi="Times New Roman" w:cs="Times New Roman"/>
                <w:lang w:val="en-GB"/>
              </w:rPr>
              <w:t>(</w:t>
            </w:r>
            <w:r w:rsidRPr="009E74AA">
              <w:rPr>
                <w:rFonts w:ascii="Times New Roman" w:hAnsi="Times New Roman" w:cs="Times New Roman"/>
                <w:lang w:val="en-GB"/>
              </w:rPr>
              <w:t>or another deadline set by the European Commission</w:t>
            </w:r>
            <w:r w:rsidR="00B771E2" w:rsidRPr="009E74AA">
              <w:rPr>
                <w:rFonts w:ascii="Times New Roman" w:hAnsi="Times New Roman" w:cs="Times New Roman"/>
                <w:lang w:val="en-GB"/>
              </w:rPr>
              <w:t>)</w:t>
            </w:r>
            <w:r w:rsidRPr="009E74AA">
              <w:rPr>
                <w:rFonts w:ascii="Times New Roman" w:hAnsi="Times New Roman" w:cs="Times New Roman"/>
                <w:lang w:val="en-GB"/>
              </w:rPr>
              <w:t>;</w:t>
            </w:r>
          </w:p>
          <w:p w14:paraId="3B814AE8" w14:textId="1DD571BC" w:rsidR="00162AD8" w:rsidRPr="009E74AA" w:rsidRDefault="0016785F" w:rsidP="00FB0367">
            <w:pPr>
              <w:pStyle w:val="ListParagraph"/>
              <w:numPr>
                <w:ilvl w:val="1"/>
                <w:numId w:val="1"/>
              </w:numPr>
              <w:spacing w:after="120"/>
              <w:ind w:left="318" w:hanging="357"/>
              <w:rPr>
                <w:rFonts w:ascii="Times New Roman" w:hAnsi="Times New Roman" w:cs="Times New Roman"/>
                <w:lang w:val="en-GB"/>
              </w:rPr>
            </w:pPr>
            <w:r w:rsidRPr="009E74AA">
              <w:rPr>
                <w:rFonts w:ascii="Times New Roman" w:hAnsi="Times New Roman" w:cs="Times New Roman"/>
                <w:lang w:val="en-GB"/>
              </w:rPr>
              <w:t xml:space="preserve">Final </w:t>
            </w:r>
            <w:r w:rsidR="002A3935">
              <w:rPr>
                <w:rFonts w:ascii="Times New Roman" w:hAnsi="Times New Roman" w:cs="Times New Roman"/>
                <w:lang w:val="en-GB"/>
              </w:rPr>
              <w:t xml:space="preserve">(impact) </w:t>
            </w:r>
            <w:r w:rsidRPr="009E74AA">
              <w:rPr>
                <w:rFonts w:ascii="Times New Roman" w:hAnsi="Times New Roman" w:cs="Times New Roman"/>
                <w:lang w:val="en-GB"/>
              </w:rPr>
              <w:t>evaluation</w:t>
            </w:r>
            <w:r w:rsidR="00162AD8" w:rsidRPr="009E74AA">
              <w:rPr>
                <w:rFonts w:ascii="Times New Roman" w:hAnsi="Times New Roman" w:cs="Times New Roman"/>
                <w:lang w:val="en-GB"/>
              </w:rPr>
              <w:t xml:space="preserve"> – </w:t>
            </w:r>
            <w:r w:rsidRPr="009E74AA">
              <w:rPr>
                <w:rFonts w:ascii="Times New Roman" w:hAnsi="Times New Roman" w:cs="Times New Roman"/>
                <w:lang w:val="en-GB"/>
              </w:rPr>
              <w:t xml:space="preserve">by 30 June </w:t>
            </w:r>
            <w:r w:rsidR="00162AD8" w:rsidRPr="009E74AA">
              <w:rPr>
                <w:rFonts w:ascii="Times New Roman" w:hAnsi="Times New Roman" w:cs="Times New Roman"/>
                <w:lang w:val="en-GB"/>
              </w:rPr>
              <w:t xml:space="preserve">2029 </w:t>
            </w:r>
            <w:r w:rsidR="00B771E2" w:rsidRPr="009E74AA">
              <w:rPr>
                <w:rFonts w:ascii="Times New Roman" w:hAnsi="Times New Roman" w:cs="Times New Roman"/>
                <w:lang w:val="en-GB"/>
              </w:rPr>
              <w:t>(</w:t>
            </w:r>
            <w:r w:rsidRPr="009E74AA">
              <w:rPr>
                <w:rFonts w:ascii="Times New Roman" w:hAnsi="Times New Roman" w:cs="Times New Roman"/>
                <w:lang w:val="en-GB"/>
              </w:rPr>
              <w:t>or another deadline set by the European Commission</w:t>
            </w:r>
            <w:r w:rsidR="00B771E2" w:rsidRPr="009E74AA">
              <w:rPr>
                <w:rFonts w:ascii="Times New Roman" w:hAnsi="Times New Roman" w:cs="Times New Roman"/>
                <w:lang w:val="en-GB"/>
              </w:rPr>
              <w:t>)</w:t>
            </w:r>
            <w:r w:rsidR="00850A22">
              <w:rPr>
                <w:rFonts w:ascii="Times New Roman" w:hAnsi="Times New Roman" w:cs="Times New Roman"/>
                <w:lang w:val="en-GB"/>
              </w:rPr>
              <w:t>.</w:t>
            </w:r>
          </w:p>
        </w:tc>
      </w:tr>
      <w:tr w:rsidR="001278D2" w:rsidRPr="009E74AA" w14:paraId="39A24497" w14:textId="77777777" w:rsidTr="007701D5">
        <w:tc>
          <w:tcPr>
            <w:tcW w:w="3114" w:type="dxa"/>
            <w:shd w:val="clear" w:color="auto" w:fill="F2F2F2" w:themeFill="background1" w:themeFillShade="F2"/>
          </w:tcPr>
          <w:p w14:paraId="6F0B1607" w14:textId="56DBCE71" w:rsidR="001278D2" w:rsidRPr="009E74AA" w:rsidRDefault="0016785F" w:rsidP="001278D2">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Programme implementation period under evaluation</w:t>
            </w:r>
          </w:p>
        </w:tc>
        <w:tc>
          <w:tcPr>
            <w:tcW w:w="11340" w:type="dxa"/>
          </w:tcPr>
          <w:p w14:paraId="1758ED73" w14:textId="61C1794A" w:rsidR="001278D2" w:rsidRPr="009E74AA" w:rsidRDefault="0016785F" w:rsidP="00FB0367">
            <w:pPr>
              <w:pStyle w:val="ListParagraph"/>
              <w:numPr>
                <w:ilvl w:val="1"/>
                <w:numId w:val="1"/>
              </w:numPr>
              <w:spacing w:after="120"/>
              <w:ind w:left="316" w:hanging="357"/>
              <w:rPr>
                <w:rFonts w:ascii="Times New Roman" w:hAnsi="Times New Roman" w:cs="Times New Roman"/>
                <w:lang w:val="en-GB"/>
              </w:rPr>
            </w:pPr>
            <w:r w:rsidRPr="009E74AA">
              <w:rPr>
                <w:rFonts w:ascii="Times New Roman" w:hAnsi="Times New Roman" w:cs="Times New Roman"/>
                <w:lang w:val="en-GB"/>
              </w:rPr>
              <w:t xml:space="preserve">For the mid-term evaluation </w:t>
            </w:r>
            <w:r w:rsidR="001278D2" w:rsidRPr="009E74AA">
              <w:rPr>
                <w:rFonts w:ascii="Times New Roman" w:hAnsi="Times New Roman" w:cs="Times New Roman"/>
                <w:lang w:val="en-GB"/>
              </w:rPr>
              <w:t xml:space="preserve">– </w:t>
            </w:r>
            <w:r w:rsidRPr="009E74AA">
              <w:rPr>
                <w:rFonts w:ascii="Times New Roman" w:hAnsi="Times New Roman" w:cs="Times New Roman"/>
                <w:lang w:val="en-GB"/>
              </w:rPr>
              <w:t>01/01/</w:t>
            </w:r>
            <w:r w:rsidR="001278D2" w:rsidRPr="009E74AA">
              <w:rPr>
                <w:rFonts w:ascii="Times New Roman" w:hAnsi="Times New Roman" w:cs="Times New Roman"/>
                <w:lang w:val="en-GB"/>
              </w:rPr>
              <w:t xml:space="preserve">2021 – </w:t>
            </w:r>
            <w:r w:rsidRPr="009E74AA">
              <w:rPr>
                <w:rFonts w:ascii="Times New Roman" w:hAnsi="Times New Roman" w:cs="Times New Roman"/>
                <w:lang w:val="en-GB"/>
              </w:rPr>
              <w:t>30/12/</w:t>
            </w:r>
            <w:r w:rsidR="001278D2" w:rsidRPr="009E74AA">
              <w:rPr>
                <w:rFonts w:ascii="Times New Roman" w:hAnsi="Times New Roman" w:cs="Times New Roman"/>
                <w:lang w:val="en-GB"/>
              </w:rPr>
              <w:t>2023</w:t>
            </w:r>
            <w:r w:rsidRPr="009E74AA">
              <w:rPr>
                <w:rFonts w:ascii="Times New Roman" w:hAnsi="Times New Roman" w:cs="Times New Roman"/>
                <w:lang w:val="en-GB"/>
              </w:rPr>
              <w:t>;</w:t>
            </w:r>
          </w:p>
          <w:p w14:paraId="499A25A0" w14:textId="4A1DB305" w:rsidR="001278D2" w:rsidRPr="009E74AA" w:rsidRDefault="0016785F" w:rsidP="00FB0367">
            <w:pPr>
              <w:pStyle w:val="ListParagraph"/>
              <w:numPr>
                <w:ilvl w:val="1"/>
                <w:numId w:val="1"/>
              </w:numPr>
              <w:spacing w:after="120"/>
              <w:ind w:left="316" w:hanging="357"/>
              <w:rPr>
                <w:rFonts w:ascii="Times New Roman" w:hAnsi="Times New Roman" w:cs="Times New Roman"/>
                <w:lang w:val="en-GB"/>
              </w:rPr>
            </w:pPr>
            <w:r w:rsidRPr="009E74AA">
              <w:rPr>
                <w:rFonts w:ascii="Times New Roman" w:hAnsi="Times New Roman" w:cs="Times New Roman"/>
                <w:lang w:val="en-GB"/>
              </w:rPr>
              <w:t>For the final evaluation</w:t>
            </w:r>
            <w:r w:rsidR="001278D2" w:rsidRPr="009E74AA">
              <w:rPr>
                <w:rFonts w:ascii="Times New Roman" w:hAnsi="Times New Roman" w:cs="Times New Roman"/>
                <w:lang w:val="en-GB"/>
              </w:rPr>
              <w:t xml:space="preserve"> – </w:t>
            </w:r>
            <w:r w:rsidRPr="009E74AA">
              <w:rPr>
                <w:rFonts w:ascii="Times New Roman" w:hAnsi="Times New Roman" w:cs="Times New Roman"/>
                <w:lang w:val="en-GB"/>
              </w:rPr>
              <w:t xml:space="preserve">the Programme‘s implementation period </w:t>
            </w:r>
            <w:r w:rsidR="001278D2" w:rsidRPr="009E74AA">
              <w:rPr>
                <w:rFonts w:ascii="Times New Roman" w:hAnsi="Times New Roman" w:cs="Times New Roman"/>
                <w:lang w:val="en-GB"/>
              </w:rPr>
              <w:t>(</w:t>
            </w:r>
            <w:r w:rsidRPr="009E74AA">
              <w:rPr>
                <w:rFonts w:ascii="Times New Roman" w:hAnsi="Times New Roman" w:cs="Times New Roman"/>
                <w:lang w:val="en-GB"/>
              </w:rPr>
              <w:t xml:space="preserve">to be updated prior to the final </w:t>
            </w:r>
            <w:r w:rsidR="002A3935">
              <w:rPr>
                <w:rFonts w:ascii="Times New Roman" w:hAnsi="Times New Roman" w:cs="Times New Roman"/>
                <w:lang w:val="en-GB"/>
              </w:rPr>
              <w:t xml:space="preserve">(impact) </w:t>
            </w:r>
            <w:r w:rsidRPr="009E74AA">
              <w:rPr>
                <w:rFonts w:ascii="Times New Roman" w:hAnsi="Times New Roman" w:cs="Times New Roman"/>
                <w:lang w:val="en-GB"/>
              </w:rPr>
              <w:t>evaluation</w:t>
            </w:r>
            <w:r w:rsidR="001278D2" w:rsidRPr="009E74AA">
              <w:rPr>
                <w:rFonts w:ascii="Times New Roman" w:hAnsi="Times New Roman" w:cs="Times New Roman"/>
                <w:lang w:val="en-GB"/>
              </w:rPr>
              <w:t>).</w:t>
            </w:r>
          </w:p>
        </w:tc>
      </w:tr>
      <w:tr w:rsidR="001278D2" w:rsidRPr="009E74AA" w14:paraId="1750FB6A" w14:textId="77777777" w:rsidTr="007701D5">
        <w:tc>
          <w:tcPr>
            <w:tcW w:w="3114" w:type="dxa"/>
            <w:vMerge w:val="restart"/>
            <w:shd w:val="clear" w:color="auto" w:fill="F2F2F2" w:themeFill="background1" w:themeFillShade="F2"/>
          </w:tcPr>
          <w:p w14:paraId="212E2A0D" w14:textId="1C1C41C1" w:rsidR="001278D2" w:rsidRPr="009E74AA" w:rsidRDefault="002A3935" w:rsidP="001278D2">
            <w:pPr>
              <w:pStyle w:val="ListParagraph"/>
              <w:numPr>
                <w:ilvl w:val="0"/>
                <w:numId w:val="1"/>
              </w:numPr>
              <w:ind w:left="318"/>
              <w:rPr>
                <w:rFonts w:ascii="Times New Roman" w:hAnsi="Times New Roman" w:cs="Times New Roman"/>
                <w:lang w:val="en-GB"/>
              </w:rPr>
            </w:pPr>
            <w:r>
              <w:rPr>
                <w:rFonts w:ascii="Times New Roman" w:hAnsi="Times New Roman" w:cs="Times New Roman"/>
                <w:lang w:val="en-GB"/>
              </w:rPr>
              <w:t xml:space="preserve">Stakeholders </w:t>
            </w:r>
            <w:r w:rsidR="0016785F" w:rsidRPr="009E74AA">
              <w:rPr>
                <w:rFonts w:ascii="Times New Roman" w:hAnsi="Times New Roman" w:cs="Times New Roman"/>
                <w:lang w:val="en-GB"/>
              </w:rPr>
              <w:t>taking part in the evaluation and their functions</w:t>
            </w:r>
          </w:p>
        </w:tc>
        <w:tc>
          <w:tcPr>
            <w:tcW w:w="11340" w:type="dxa"/>
          </w:tcPr>
          <w:p w14:paraId="030FFC5C" w14:textId="031349A1" w:rsidR="001278D2" w:rsidRPr="009E74AA" w:rsidRDefault="002A3935" w:rsidP="001278D2">
            <w:pPr>
              <w:jc w:val="both"/>
              <w:rPr>
                <w:rFonts w:ascii="Times New Roman" w:hAnsi="Times New Roman" w:cs="Times New Roman"/>
                <w:lang w:val="en-GB"/>
              </w:rPr>
            </w:pPr>
            <w:r>
              <w:rPr>
                <w:rFonts w:ascii="Times New Roman" w:hAnsi="Times New Roman" w:cs="Times New Roman"/>
                <w:lang w:val="en-GB"/>
              </w:rPr>
              <w:t>5</w:t>
            </w:r>
            <w:r w:rsidR="001278D2" w:rsidRPr="009E74AA">
              <w:rPr>
                <w:rFonts w:ascii="Times New Roman" w:hAnsi="Times New Roman" w:cs="Times New Roman"/>
                <w:lang w:val="en-GB"/>
              </w:rPr>
              <w:t xml:space="preserve">.1. </w:t>
            </w:r>
            <w:r w:rsidR="00DD663F" w:rsidRPr="009E74AA">
              <w:rPr>
                <w:rFonts w:ascii="Times New Roman" w:hAnsi="Times New Roman" w:cs="Times New Roman"/>
                <w:lang w:val="en-GB"/>
              </w:rPr>
              <w:t xml:space="preserve">Managing </w:t>
            </w:r>
            <w:r w:rsidR="0029763C" w:rsidRPr="009E74AA">
              <w:rPr>
                <w:rFonts w:ascii="Times New Roman" w:hAnsi="Times New Roman" w:cs="Times New Roman"/>
                <w:lang w:val="en-GB"/>
              </w:rPr>
              <w:t>A</w:t>
            </w:r>
            <w:r w:rsidR="00DD663F" w:rsidRPr="009E74AA">
              <w:rPr>
                <w:rFonts w:ascii="Times New Roman" w:hAnsi="Times New Roman" w:cs="Times New Roman"/>
                <w:lang w:val="en-GB"/>
              </w:rPr>
              <w:t xml:space="preserve">uthority </w:t>
            </w:r>
            <w:r w:rsidR="001278D2" w:rsidRPr="009E74AA">
              <w:rPr>
                <w:rFonts w:ascii="Times New Roman" w:hAnsi="Times New Roman" w:cs="Times New Roman"/>
                <w:lang w:val="en-GB"/>
              </w:rPr>
              <w:t>–</w:t>
            </w:r>
            <w:r w:rsidR="00A7136F" w:rsidRPr="009E74AA">
              <w:rPr>
                <w:rFonts w:ascii="Times New Roman" w:hAnsi="Times New Roman" w:cs="Times New Roman"/>
                <w:lang w:val="en-GB"/>
              </w:rPr>
              <w:t xml:space="preserve"> </w:t>
            </w:r>
            <w:r w:rsidR="0029763C" w:rsidRPr="009E74AA">
              <w:rPr>
                <w:rFonts w:ascii="Times New Roman" w:hAnsi="Times New Roman" w:cs="Times New Roman"/>
                <w:lang w:val="en-GB"/>
              </w:rPr>
              <w:t xml:space="preserve">Draws up the Programmes’ evaluation plan, organises selection of independent evaluators, ensures that the latter receive all requisite information on the Programmes’ management and control, and submits the Programmes’ evaluation report/reports to the European Commission. </w:t>
            </w:r>
          </w:p>
        </w:tc>
      </w:tr>
      <w:tr w:rsidR="001278D2" w:rsidRPr="009E74AA" w14:paraId="69122BE4" w14:textId="77777777" w:rsidTr="007701D5">
        <w:tc>
          <w:tcPr>
            <w:tcW w:w="3114" w:type="dxa"/>
            <w:vMerge/>
            <w:shd w:val="clear" w:color="auto" w:fill="F2F2F2" w:themeFill="background1" w:themeFillShade="F2"/>
          </w:tcPr>
          <w:p w14:paraId="18C9C883" w14:textId="77777777" w:rsidR="001278D2" w:rsidRPr="009E74AA" w:rsidRDefault="001278D2" w:rsidP="001278D2">
            <w:pPr>
              <w:rPr>
                <w:rFonts w:ascii="Times New Roman" w:hAnsi="Times New Roman" w:cs="Times New Roman"/>
                <w:lang w:val="en-GB"/>
              </w:rPr>
            </w:pPr>
          </w:p>
        </w:tc>
        <w:tc>
          <w:tcPr>
            <w:tcW w:w="11340" w:type="dxa"/>
          </w:tcPr>
          <w:p w14:paraId="101DFA26" w14:textId="0F2F936A" w:rsidR="001278D2" w:rsidRPr="009E74AA" w:rsidRDefault="002A3935" w:rsidP="00FE268B">
            <w:pPr>
              <w:jc w:val="both"/>
              <w:rPr>
                <w:rFonts w:ascii="Times New Roman" w:hAnsi="Times New Roman" w:cs="Times New Roman"/>
                <w:lang w:val="en-GB"/>
              </w:rPr>
            </w:pPr>
            <w:r>
              <w:rPr>
                <w:rFonts w:ascii="Times New Roman" w:hAnsi="Times New Roman" w:cs="Times New Roman"/>
                <w:lang w:val="en-GB"/>
              </w:rPr>
              <w:t>5</w:t>
            </w:r>
            <w:r w:rsidR="001278D2" w:rsidRPr="009E74AA">
              <w:rPr>
                <w:rFonts w:ascii="Times New Roman" w:hAnsi="Times New Roman" w:cs="Times New Roman"/>
                <w:lang w:val="en-GB"/>
              </w:rPr>
              <w:t xml:space="preserve">.2. </w:t>
            </w:r>
            <w:r w:rsidR="00DD663F" w:rsidRPr="009E74AA">
              <w:rPr>
                <w:rFonts w:ascii="Times New Roman" w:hAnsi="Times New Roman" w:cs="Times New Roman"/>
                <w:lang w:val="en-GB"/>
              </w:rPr>
              <w:t xml:space="preserve">Intermediate </w:t>
            </w:r>
            <w:r w:rsidR="0029763C" w:rsidRPr="009E74AA">
              <w:rPr>
                <w:rFonts w:ascii="Times New Roman" w:hAnsi="Times New Roman" w:cs="Times New Roman"/>
                <w:lang w:val="en-GB"/>
              </w:rPr>
              <w:t>B</w:t>
            </w:r>
            <w:r w:rsidR="00DD663F" w:rsidRPr="009E74AA">
              <w:rPr>
                <w:rFonts w:ascii="Times New Roman" w:hAnsi="Times New Roman" w:cs="Times New Roman"/>
                <w:lang w:val="en-GB"/>
              </w:rPr>
              <w:t>ody</w:t>
            </w:r>
            <w:r w:rsidR="000A52F6" w:rsidRPr="009E74AA">
              <w:rPr>
                <w:rFonts w:ascii="Times New Roman" w:hAnsi="Times New Roman" w:cs="Times New Roman"/>
                <w:lang w:val="en-GB"/>
              </w:rPr>
              <w:t xml:space="preserve"> </w:t>
            </w:r>
            <w:r w:rsidR="009E74AA" w:rsidRPr="009E74AA">
              <w:rPr>
                <w:rFonts w:ascii="Times New Roman" w:hAnsi="Times New Roman" w:cs="Times New Roman"/>
                <w:lang w:val="en-GB"/>
              </w:rPr>
              <w:t>–</w:t>
            </w:r>
            <w:r w:rsidR="000A52F6" w:rsidRPr="009E74AA">
              <w:rPr>
                <w:rFonts w:ascii="Times New Roman" w:hAnsi="Times New Roman" w:cs="Times New Roman"/>
                <w:lang w:val="en-GB"/>
              </w:rPr>
              <w:t xml:space="preserve"> </w:t>
            </w:r>
            <w:r w:rsidR="009E74AA" w:rsidRPr="009E74AA">
              <w:rPr>
                <w:rFonts w:ascii="Times New Roman" w:hAnsi="Times New Roman" w:cs="Times New Roman"/>
                <w:lang w:val="en-GB"/>
              </w:rPr>
              <w:t>Ensures</w:t>
            </w:r>
            <w:r w:rsidR="0029763C" w:rsidRPr="009E74AA">
              <w:rPr>
                <w:rFonts w:ascii="Times New Roman" w:hAnsi="Times New Roman" w:cs="Times New Roman"/>
                <w:lang w:val="en-GB"/>
              </w:rPr>
              <w:t xml:space="preserve"> that documents prepared and received within its remit and required for independent expert evaluations are properly stored and accessible to persons having the right to receive/check them.</w:t>
            </w:r>
          </w:p>
        </w:tc>
      </w:tr>
      <w:tr w:rsidR="001278D2" w:rsidRPr="009E74AA" w14:paraId="19C0F143" w14:textId="77777777" w:rsidTr="007701D5">
        <w:tc>
          <w:tcPr>
            <w:tcW w:w="3114" w:type="dxa"/>
            <w:vMerge/>
            <w:shd w:val="clear" w:color="auto" w:fill="F2F2F2" w:themeFill="background1" w:themeFillShade="F2"/>
          </w:tcPr>
          <w:p w14:paraId="792AAA7C" w14:textId="77777777" w:rsidR="001278D2" w:rsidRPr="009E74AA" w:rsidRDefault="001278D2" w:rsidP="001278D2">
            <w:pPr>
              <w:rPr>
                <w:rFonts w:ascii="Times New Roman" w:hAnsi="Times New Roman" w:cs="Times New Roman"/>
                <w:lang w:val="en-GB"/>
              </w:rPr>
            </w:pPr>
          </w:p>
        </w:tc>
        <w:tc>
          <w:tcPr>
            <w:tcW w:w="11340" w:type="dxa"/>
          </w:tcPr>
          <w:p w14:paraId="74DB3D05" w14:textId="05006C32" w:rsidR="001278D2" w:rsidRPr="009E74AA" w:rsidRDefault="002A3935" w:rsidP="00FE268B">
            <w:pPr>
              <w:jc w:val="both"/>
              <w:rPr>
                <w:rFonts w:ascii="Times New Roman" w:hAnsi="Times New Roman" w:cs="Times New Roman"/>
                <w:lang w:val="en-GB"/>
              </w:rPr>
            </w:pPr>
            <w:r>
              <w:rPr>
                <w:rFonts w:ascii="Times New Roman" w:hAnsi="Times New Roman" w:cs="Times New Roman"/>
                <w:lang w:val="en-GB"/>
              </w:rPr>
              <w:t>5</w:t>
            </w:r>
            <w:r w:rsidR="001278D2" w:rsidRPr="009E74AA">
              <w:rPr>
                <w:rFonts w:ascii="Times New Roman" w:hAnsi="Times New Roman" w:cs="Times New Roman"/>
                <w:lang w:val="en-GB"/>
              </w:rPr>
              <w:t xml:space="preserve">.3. </w:t>
            </w:r>
            <w:r w:rsidR="00FE268B">
              <w:rPr>
                <w:rFonts w:ascii="Times New Roman" w:hAnsi="Times New Roman" w:cs="Times New Roman"/>
                <w:lang w:val="en-GB"/>
              </w:rPr>
              <w:t xml:space="preserve">Final beneficiaries </w:t>
            </w:r>
            <w:r w:rsidR="001278D2" w:rsidRPr="009E74AA">
              <w:rPr>
                <w:rFonts w:ascii="Times New Roman" w:hAnsi="Times New Roman" w:cs="Times New Roman"/>
                <w:lang w:val="en-GB"/>
              </w:rPr>
              <w:t>–</w:t>
            </w:r>
            <w:r w:rsidR="000A52F6" w:rsidRPr="009E74AA">
              <w:rPr>
                <w:rFonts w:ascii="Times New Roman" w:hAnsi="Times New Roman" w:cs="Times New Roman"/>
                <w:lang w:val="en-GB"/>
              </w:rPr>
              <w:t xml:space="preserve"> </w:t>
            </w:r>
            <w:r w:rsidR="0029763C" w:rsidRPr="009E74AA">
              <w:rPr>
                <w:rFonts w:ascii="Times New Roman" w:hAnsi="Times New Roman" w:cs="Times New Roman"/>
                <w:lang w:val="en-GB"/>
              </w:rPr>
              <w:t xml:space="preserve">Collaborate with the independent evaluators selected for evaluation of the Programmes and furnish them with information and documents requested. </w:t>
            </w:r>
          </w:p>
        </w:tc>
      </w:tr>
      <w:tr w:rsidR="001278D2" w:rsidRPr="009E74AA" w14:paraId="312D90E5" w14:textId="77777777" w:rsidTr="007701D5">
        <w:tc>
          <w:tcPr>
            <w:tcW w:w="3114" w:type="dxa"/>
            <w:vMerge/>
            <w:shd w:val="clear" w:color="auto" w:fill="F2F2F2" w:themeFill="background1" w:themeFillShade="F2"/>
          </w:tcPr>
          <w:p w14:paraId="19F46857" w14:textId="77777777" w:rsidR="001278D2" w:rsidRPr="009E74AA" w:rsidRDefault="001278D2" w:rsidP="001278D2">
            <w:pPr>
              <w:rPr>
                <w:rFonts w:ascii="Times New Roman" w:hAnsi="Times New Roman" w:cs="Times New Roman"/>
                <w:lang w:val="en-GB"/>
              </w:rPr>
            </w:pPr>
          </w:p>
        </w:tc>
        <w:tc>
          <w:tcPr>
            <w:tcW w:w="11340" w:type="dxa"/>
          </w:tcPr>
          <w:p w14:paraId="505392A4" w14:textId="7C436D90" w:rsidR="001278D2" w:rsidRPr="00117D10" w:rsidRDefault="002A3935" w:rsidP="001278D2">
            <w:pPr>
              <w:jc w:val="both"/>
              <w:rPr>
                <w:rFonts w:ascii="Times New Roman" w:hAnsi="Times New Roman" w:cs="Times New Roman"/>
                <w:lang w:val="en-US"/>
              </w:rPr>
            </w:pPr>
            <w:r w:rsidRPr="00117D10">
              <w:rPr>
                <w:rFonts w:ascii="Times New Roman" w:hAnsi="Times New Roman" w:cs="Times New Roman"/>
                <w:lang w:val="en-US"/>
              </w:rPr>
              <w:t>5</w:t>
            </w:r>
            <w:r w:rsidR="001278D2" w:rsidRPr="00117D10">
              <w:rPr>
                <w:rFonts w:ascii="Times New Roman" w:hAnsi="Times New Roman" w:cs="Times New Roman"/>
                <w:lang w:val="en-US"/>
              </w:rPr>
              <w:t xml:space="preserve">.4. </w:t>
            </w:r>
            <w:r w:rsidR="00DD663F" w:rsidRPr="00117D10">
              <w:rPr>
                <w:rFonts w:ascii="Times New Roman" w:hAnsi="Times New Roman" w:cs="Times New Roman"/>
                <w:lang w:val="en-US"/>
              </w:rPr>
              <w:t xml:space="preserve">Independent </w:t>
            </w:r>
            <w:r w:rsidR="001278D2" w:rsidRPr="00117D10">
              <w:rPr>
                <w:rFonts w:ascii="Times New Roman" w:hAnsi="Times New Roman" w:cs="Times New Roman"/>
                <w:lang w:val="en-US"/>
              </w:rPr>
              <w:t xml:space="preserve"> </w:t>
            </w:r>
            <w:r w:rsidR="00DD663F" w:rsidRPr="00117D10">
              <w:rPr>
                <w:rFonts w:ascii="Times New Roman" w:hAnsi="Times New Roman" w:cs="Times New Roman"/>
                <w:lang w:val="en-US"/>
              </w:rPr>
              <w:t xml:space="preserve">evaluators </w:t>
            </w:r>
            <w:r w:rsidR="001278D2" w:rsidRPr="00117D10">
              <w:rPr>
                <w:rFonts w:ascii="Times New Roman" w:hAnsi="Times New Roman" w:cs="Times New Roman"/>
                <w:lang w:val="en-US"/>
              </w:rPr>
              <w:t>–</w:t>
            </w:r>
            <w:r w:rsidR="000A52F6" w:rsidRPr="00117D10">
              <w:rPr>
                <w:rFonts w:ascii="Times New Roman" w:hAnsi="Times New Roman" w:cs="Times New Roman"/>
                <w:lang w:val="en-US"/>
              </w:rPr>
              <w:t xml:space="preserve"> C</w:t>
            </w:r>
            <w:r w:rsidR="0029763C" w:rsidRPr="00117D10">
              <w:rPr>
                <w:rFonts w:ascii="Times New Roman" w:hAnsi="Times New Roman" w:cs="Times New Roman"/>
                <w:lang w:val="en-US"/>
              </w:rPr>
              <w:t xml:space="preserve">arry out evaluations of the </w:t>
            </w:r>
            <w:proofErr w:type="spellStart"/>
            <w:r w:rsidR="0029763C" w:rsidRPr="00117D10">
              <w:rPr>
                <w:rFonts w:ascii="Times New Roman" w:hAnsi="Times New Roman" w:cs="Times New Roman"/>
                <w:lang w:val="en-US"/>
              </w:rPr>
              <w:t>Programmes</w:t>
            </w:r>
            <w:proofErr w:type="spellEnd"/>
            <w:r w:rsidR="0029763C" w:rsidRPr="00117D10">
              <w:rPr>
                <w:rFonts w:ascii="Times New Roman" w:hAnsi="Times New Roman" w:cs="Times New Roman"/>
                <w:lang w:val="en-US"/>
              </w:rPr>
              <w:t>’, present interim and final evaluation results to the Managing Authority (also to the Monitoring Committee as necessary) and submit the evaluation report</w:t>
            </w:r>
            <w:r w:rsidR="00117D10" w:rsidRPr="00117D10">
              <w:rPr>
                <w:rFonts w:ascii="Times New Roman" w:hAnsi="Times New Roman" w:cs="Times New Roman"/>
                <w:lang w:val="en-US"/>
              </w:rPr>
              <w:t>/reports</w:t>
            </w:r>
            <w:r w:rsidR="0029763C" w:rsidRPr="00117D10">
              <w:rPr>
                <w:rFonts w:ascii="Times New Roman" w:hAnsi="Times New Roman" w:cs="Times New Roman"/>
                <w:lang w:val="en-US"/>
              </w:rPr>
              <w:t xml:space="preserve"> to the Managing Authority within time limits set in the evaluation service agreement.</w:t>
            </w:r>
          </w:p>
        </w:tc>
      </w:tr>
      <w:tr w:rsidR="001278D2" w:rsidRPr="009E74AA" w14:paraId="23E7ADA2" w14:textId="77777777" w:rsidTr="007701D5">
        <w:tc>
          <w:tcPr>
            <w:tcW w:w="3114" w:type="dxa"/>
            <w:vMerge/>
            <w:shd w:val="clear" w:color="auto" w:fill="F2F2F2" w:themeFill="background1" w:themeFillShade="F2"/>
          </w:tcPr>
          <w:p w14:paraId="3C1C6993" w14:textId="77777777" w:rsidR="001278D2" w:rsidRPr="009E74AA" w:rsidRDefault="001278D2" w:rsidP="001278D2">
            <w:pPr>
              <w:rPr>
                <w:rFonts w:ascii="Times New Roman" w:hAnsi="Times New Roman" w:cs="Times New Roman"/>
                <w:lang w:val="en-GB"/>
              </w:rPr>
            </w:pPr>
          </w:p>
        </w:tc>
        <w:tc>
          <w:tcPr>
            <w:tcW w:w="11340" w:type="dxa"/>
          </w:tcPr>
          <w:p w14:paraId="290AF1B6" w14:textId="41CD4CD3" w:rsidR="001278D2" w:rsidRPr="00117D10" w:rsidRDefault="002A3935" w:rsidP="00FB0367">
            <w:pPr>
              <w:spacing w:after="120"/>
              <w:jc w:val="both"/>
              <w:rPr>
                <w:rFonts w:ascii="Times New Roman" w:hAnsi="Times New Roman" w:cs="Times New Roman"/>
                <w:lang w:val="en-US"/>
              </w:rPr>
            </w:pPr>
            <w:r w:rsidRPr="00117D10">
              <w:rPr>
                <w:rFonts w:ascii="Times New Roman" w:hAnsi="Times New Roman" w:cs="Times New Roman"/>
                <w:lang w:val="en-US"/>
              </w:rPr>
              <w:t>5</w:t>
            </w:r>
            <w:r w:rsidR="001278D2" w:rsidRPr="00117D10">
              <w:rPr>
                <w:rFonts w:ascii="Times New Roman" w:hAnsi="Times New Roman" w:cs="Times New Roman"/>
                <w:lang w:val="en-US"/>
              </w:rPr>
              <w:t xml:space="preserve">.5. </w:t>
            </w:r>
            <w:r w:rsidR="00DD663F" w:rsidRPr="00117D10">
              <w:rPr>
                <w:rFonts w:ascii="Times New Roman" w:hAnsi="Times New Roman" w:cs="Times New Roman"/>
                <w:lang w:val="en-US"/>
              </w:rPr>
              <w:t xml:space="preserve">Monitoring </w:t>
            </w:r>
            <w:r w:rsidR="00DE3AA3" w:rsidRPr="00117D10">
              <w:rPr>
                <w:rFonts w:ascii="Times New Roman" w:hAnsi="Times New Roman" w:cs="Times New Roman"/>
                <w:lang w:val="en-US"/>
              </w:rPr>
              <w:t>C</w:t>
            </w:r>
            <w:r w:rsidR="00DD663F" w:rsidRPr="00117D10">
              <w:rPr>
                <w:rFonts w:ascii="Times New Roman" w:hAnsi="Times New Roman" w:cs="Times New Roman"/>
                <w:lang w:val="en-US"/>
              </w:rPr>
              <w:t>ommittee</w:t>
            </w:r>
            <w:r w:rsidR="001278D2" w:rsidRPr="00117D10">
              <w:rPr>
                <w:rFonts w:ascii="Times New Roman" w:hAnsi="Times New Roman" w:cs="Times New Roman"/>
                <w:lang w:val="en-US"/>
              </w:rPr>
              <w:t xml:space="preserve"> –</w:t>
            </w:r>
            <w:r w:rsidR="000A52F6" w:rsidRPr="00117D10">
              <w:rPr>
                <w:rFonts w:ascii="Times New Roman" w:hAnsi="Times New Roman" w:cs="Times New Roman"/>
                <w:lang w:val="en-US"/>
              </w:rPr>
              <w:t xml:space="preserve"> </w:t>
            </w:r>
            <w:r w:rsidR="00DE3AA3" w:rsidRPr="00117D10">
              <w:rPr>
                <w:rFonts w:ascii="Times New Roman" w:hAnsi="Times New Roman" w:cs="Times New Roman"/>
                <w:lang w:val="en-US"/>
              </w:rPr>
              <w:t xml:space="preserve">Considers and approves the </w:t>
            </w:r>
            <w:proofErr w:type="spellStart"/>
            <w:r w:rsidR="00DE3AA3" w:rsidRPr="00117D10">
              <w:rPr>
                <w:rFonts w:ascii="Times New Roman" w:hAnsi="Times New Roman" w:cs="Times New Roman"/>
                <w:lang w:val="en-US"/>
              </w:rPr>
              <w:t>Programmes’</w:t>
            </w:r>
            <w:proofErr w:type="spellEnd"/>
            <w:r w:rsidR="00DE3AA3" w:rsidRPr="00117D10">
              <w:rPr>
                <w:rFonts w:ascii="Times New Roman" w:hAnsi="Times New Roman" w:cs="Times New Roman"/>
                <w:lang w:val="en-US"/>
              </w:rPr>
              <w:t xml:space="preserve"> evaluation plan and amendments thereto; monitors and assesses progress in the implementation of the </w:t>
            </w:r>
            <w:proofErr w:type="spellStart"/>
            <w:r w:rsidR="00DE3AA3" w:rsidRPr="00117D10">
              <w:rPr>
                <w:rFonts w:ascii="Times New Roman" w:hAnsi="Times New Roman" w:cs="Times New Roman"/>
                <w:lang w:val="en-US"/>
              </w:rPr>
              <w:t>Programmes’</w:t>
            </w:r>
            <w:proofErr w:type="spellEnd"/>
            <w:r w:rsidR="00DE3AA3" w:rsidRPr="00117D10">
              <w:rPr>
                <w:rFonts w:ascii="Times New Roman" w:hAnsi="Times New Roman" w:cs="Times New Roman"/>
                <w:lang w:val="en-US"/>
              </w:rPr>
              <w:t xml:space="preserve"> and achievement of their objectives; examines implementation results, factors affecting them and measures taken; and makes recommendations to the Managing Authority regarding improvement of the </w:t>
            </w:r>
            <w:proofErr w:type="spellStart"/>
            <w:r w:rsidR="00DE3AA3" w:rsidRPr="00117D10">
              <w:rPr>
                <w:rFonts w:ascii="Times New Roman" w:hAnsi="Times New Roman" w:cs="Times New Roman"/>
                <w:lang w:val="en-US"/>
              </w:rPr>
              <w:t>Programmes’</w:t>
            </w:r>
            <w:proofErr w:type="spellEnd"/>
            <w:r w:rsidR="00DE3AA3" w:rsidRPr="00117D10">
              <w:rPr>
                <w:rFonts w:ascii="Times New Roman" w:hAnsi="Times New Roman" w:cs="Times New Roman"/>
                <w:lang w:val="en-US"/>
              </w:rPr>
              <w:t xml:space="preserve"> implementation, communication and visibility actions and other matters referred to in Article 40(1) of the </w:t>
            </w:r>
            <w:r w:rsidR="006752A8" w:rsidRPr="00117D10">
              <w:rPr>
                <w:rFonts w:ascii="Times New Roman" w:hAnsi="Times New Roman" w:cs="Times New Roman"/>
                <w:lang w:val="en-US"/>
              </w:rPr>
              <w:t xml:space="preserve">Regulation </w:t>
            </w:r>
            <w:r w:rsidR="006752A8" w:rsidRPr="00117D10">
              <w:rPr>
                <w:rFonts w:ascii="Times New Roman" w:eastAsia="Times New Roman" w:hAnsi="Times New Roman" w:cs="Times New Roman"/>
                <w:lang w:val="en-US" w:eastAsia="en-GB"/>
              </w:rPr>
              <w:t>(EU) 2021/1060 of the European Parliament and of the Council of 24 June 2021</w:t>
            </w:r>
            <w:r w:rsidR="000546B3" w:rsidRPr="00117D10">
              <w:rPr>
                <w:rFonts w:ascii="Times New Roman" w:eastAsia="Times New Roman" w:hAnsi="Times New Roman" w:cs="Times New Roman"/>
                <w:lang w:val="en-US" w:eastAsia="en-GB"/>
              </w:rPr>
              <w:t xml:space="preserve"> (the ‘Regulation‘)</w:t>
            </w:r>
            <w:r w:rsidR="00117D10" w:rsidRPr="00117D10">
              <w:rPr>
                <w:rFonts w:ascii="Times New Roman" w:eastAsia="Times New Roman" w:hAnsi="Times New Roman" w:cs="Times New Roman"/>
                <w:lang w:val="en-US" w:eastAsia="en-GB"/>
              </w:rPr>
              <w:t xml:space="preserve">, including the </w:t>
            </w:r>
            <w:r w:rsidR="00117D10" w:rsidRPr="00117D10">
              <w:rPr>
                <w:rFonts w:ascii="Times New Roman" w:hAnsi="Times New Roman" w:cs="Times New Roman"/>
                <w:lang w:val="en-US"/>
              </w:rPr>
              <w:t>progress made in carrying out evaluations, s</w:t>
            </w:r>
            <w:r w:rsidR="00117D10">
              <w:rPr>
                <w:rFonts w:ascii="Times New Roman" w:hAnsi="Times New Roman" w:cs="Times New Roman"/>
                <w:lang w:val="en-US"/>
              </w:rPr>
              <w:t>ummaries</w:t>
            </w:r>
            <w:r w:rsidR="00117D10" w:rsidRPr="00117D10">
              <w:rPr>
                <w:rFonts w:ascii="Times New Roman" w:hAnsi="Times New Roman" w:cs="Times New Roman"/>
                <w:lang w:val="en-US"/>
              </w:rPr>
              <w:t xml:space="preserve"> of evaluations and any follow-up given to findings</w:t>
            </w:r>
            <w:r w:rsidR="006752A8" w:rsidRPr="00117D10">
              <w:rPr>
                <w:rFonts w:ascii="Times New Roman" w:eastAsia="Times New Roman" w:hAnsi="Times New Roman" w:cs="Times New Roman"/>
                <w:lang w:val="en-US" w:eastAsia="en-GB"/>
              </w:rPr>
              <w:t>.</w:t>
            </w:r>
          </w:p>
        </w:tc>
      </w:tr>
      <w:tr w:rsidR="001278D2" w:rsidRPr="009E74AA" w14:paraId="73D6A809" w14:textId="77777777" w:rsidTr="007701D5">
        <w:tc>
          <w:tcPr>
            <w:tcW w:w="3114" w:type="dxa"/>
            <w:shd w:val="clear" w:color="auto" w:fill="F2F2F2" w:themeFill="background1" w:themeFillShade="F2"/>
          </w:tcPr>
          <w:p w14:paraId="09FCE384" w14:textId="4028823E" w:rsidR="001278D2" w:rsidRPr="009E74AA" w:rsidRDefault="00DD663F" w:rsidP="001278D2">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Evaluators and selection thereof</w:t>
            </w:r>
          </w:p>
        </w:tc>
        <w:tc>
          <w:tcPr>
            <w:tcW w:w="11340" w:type="dxa"/>
          </w:tcPr>
          <w:p w14:paraId="2DF3CBD3" w14:textId="7C090F78" w:rsidR="006752A8" w:rsidRPr="009E74AA" w:rsidRDefault="006752A8" w:rsidP="00FB0367">
            <w:pPr>
              <w:spacing w:after="120"/>
              <w:jc w:val="both"/>
              <w:rPr>
                <w:rFonts w:ascii="Times New Roman" w:hAnsi="Times New Roman" w:cs="Times New Roman"/>
                <w:lang w:val="en-GB"/>
              </w:rPr>
            </w:pPr>
            <w:r w:rsidRPr="009E74AA">
              <w:rPr>
                <w:rFonts w:ascii="Times New Roman" w:hAnsi="Times New Roman" w:cs="Times New Roman"/>
                <w:lang w:val="en-GB"/>
              </w:rPr>
              <w:t xml:space="preserve">The evaluations will be carried out by functionally independent external experts selected by </w:t>
            </w:r>
            <w:r w:rsidR="00AD19DC">
              <w:rPr>
                <w:rFonts w:ascii="Times New Roman" w:hAnsi="Times New Roman" w:cs="Times New Roman"/>
                <w:lang w:val="en-GB"/>
              </w:rPr>
              <w:t>procedures</w:t>
            </w:r>
            <w:r w:rsidR="00AD19DC" w:rsidRPr="009E74AA">
              <w:rPr>
                <w:rFonts w:ascii="Times New Roman" w:hAnsi="Times New Roman" w:cs="Times New Roman"/>
                <w:lang w:val="en-GB"/>
              </w:rPr>
              <w:t xml:space="preserve"> </w:t>
            </w:r>
            <w:r w:rsidRPr="009E74AA">
              <w:rPr>
                <w:rFonts w:ascii="Times New Roman" w:hAnsi="Times New Roman" w:cs="Times New Roman"/>
                <w:lang w:val="en-GB"/>
              </w:rPr>
              <w:t>of public procurement.</w:t>
            </w:r>
          </w:p>
          <w:p w14:paraId="3070D636" w14:textId="5C6FBB6B" w:rsidR="006752A8" w:rsidRPr="009E74AA" w:rsidRDefault="006752A8" w:rsidP="00E73535">
            <w:pPr>
              <w:spacing w:after="120"/>
              <w:jc w:val="both"/>
              <w:rPr>
                <w:rFonts w:ascii="Times New Roman" w:hAnsi="Times New Roman" w:cs="Times New Roman"/>
                <w:lang w:val="en-GB"/>
              </w:rPr>
            </w:pPr>
            <w:r w:rsidRPr="009E74AA">
              <w:rPr>
                <w:rFonts w:ascii="Times New Roman" w:hAnsi="Times New Roman" w:cs="Times New Roman"/>
                <w:lang w:val="en-GB"/>
              </w:rPr>
              <w:lastRenderedPageBreak/>
              <w:t xml:space="preserve">Procurement of evaluation services will be organised by the Managing Authority. The selection process will ensure that the evaluators are impartial and functionally independent </w:t>
            </w:r>
            <w:r w:rsidR="00D03A7C">
              <w:rPr>
                <w:rFonts w:ascii="Times New Roman" w:hAnsi="Times New Roman" w:cs="Times New Roman"/>
                <w:lang w:val="en-GB"/>
              </w:rPr>
              <w:t>from</w:t>
            </w:r>
            <w:r w:rsidR="00F25B1B" w:rsidRPr="009E74AA">
              <w:rPr>
                <w:rFonts w:ascii="Times New Roman" w:hAnsi="Times New Roman" w:cs="Times New Roman"/>
                <w:lang w:val="en-GB"/>
              </w:rPr>
              <w:t xml:space="preserve"> the </w:t>
            </w:r>
            <w:r w:rsidR="00E73535">
              <w:rPr>
                <w:rFonts w:ascii="Times New Roman" w:hAnsi="Times New Roman" w:cs="Times New Roman"/>
                <w:lang w:val="en-GB"/>
              </w:rPr>
              <w:t xml:space="preserve">authorities </w:t>
            </w:r>
            <w:r w:rsidR="00F25B1B" w:rsidRPr="009E74AA">
              <w:rPr>
                <w:rFonts w:ascii="Times New Roman" w:hAnsi="Times New Roman" w:cs="Times New Roman"/>
                <w:lang w:val="en-GB"/>
              </w:rPr>
              <w:t xml:space="preserve">participating in the Programmes’ management and the </w:t>
            </w:r>
            <w:r w:rsidR="00F25C45">
              <w:rPr>
                <w:rFonts w:ascii="Times New Roman" w:hAnsi="Times New Roman" w:cs="Times New Roman"/>
                <w:lang w:val="en-GB"/>
              </w:rPr>
              <w:t>final beneficiaries</w:t>
            </w:r>
            <w:r w:rsidR="00F25B1B" w:rsidRPr="009E74AA">
              <w:rPr>
                <w:rFonts w:ascii="Times New Roman" w:hAnsi="Times New Roman" w:cs="Times New Roman"/>
                <w:lang w:val="en-GB"/>
              </w:rPr>
              <w:t xml:space="preserve">. Criteria for the selection of and requirements for the evaluators will be set in the relevant procurement documents. </w:t>
            </w:r>
          </w:p>
        </w:tc>
      </w:tr>
      <w:tr w:rsidR="001278D2" w:rsidRPr="009E74AA" w14:paraId="031C59B8" w14:textId="77777777" w:rsidTr="007701D5">
        <w:tc>
          <w:tcPr>
            <w:tcW w:w="3114" w:type="dxa"/>
            <w:shd w:val="clear" w:color="auto" w:fill="F2F2F2" w:themeFill="background1" w:themeFillShade="F2"/>
          </w:tcPr>
          <w:p w14:paraId="0CF959FC" w14:textId="1FDB13DD" w:rsidR="001278D2" w:rsidRPr="009E74AA" w:rsidRDefault="001278D2" w:rsidP="001278D2">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lastRenderedPageBreak/>
              <w:t>P</w:t>
            </w:r>
            <w:r w:rsidRPr="007701D5">
              <w:rPr>
                <w:rFonts w:ascii="Times New Roman" w:hAnsi="Times New Roman" w:cs="Times New Roman"/>
                <w:shd w:val="clear" w:color="auto" w:fill="F2F2F2" w:themeFill="background1" w:themeFillShade="F2"/>
                <w:lang w:val="en-GB"/>
              </w:rPr>
              <w:t>reliminar</w:t>
            </w:r>
            <w:r w:rsidR="00F25B1B" w:rsidRPr="009E74AA">
              <w:rPr>
                <w:rFonts w:ascii="Times New Roman" w:hAnsi="Times New Roman" w:cs="Times New Roman"/>
                <w:lang w:val="en-GB"/>
              </w:rPr>
              <w:t xml:space="preserve">y schedule </w:t>
            </w:r>
          </w:p>
        </w:tc>
        <w:tc>
          <w:tcPr>
            <w:tcW w:w="11340" w:type="dxa"/>
          </w:tcPr>
          <w:p w14:paraId="54FDBDA3" w14:textId="0FCC7F4D" w:rsidR="001278D2" w:rsidRPr="009E74AA" w:rsidRDefault="00C44B6F" w:rsidP="001278D2">
            <w:pPr>
              <w:rPr>
                <w:rFonts w:ascii="Times New Roman" w:hAnsi="Times New Roman" w:cs="Times New Roman"/>
                <w:lang w:val="en-GB"/>
              </w:rPr>
            </w:pPr>
            <w:r w:rsidRPr="009E74AA">
              <w:rPr>
                <w:rFonts w:ascii="Times New Roman" w:hAnsi="Times New Roman" w:cs="Times New Roman"/>
                <w:lang w:val="en-GB"/>
              </w:rPr>
              <w:t>The evaluation process will be organised as a sequence of the following steps</w:t>
            </w:r>
            <w:r w:rsidR="001278D2" w:rsidRPr="009E74AA">
              <w:rPr>
                <w:rFonts w:ascii="Times New Roman" w:hAnsi="Times New Roman" w:cs="Times New Roman"/>
                <w:lang w:val="en-GB"/>
              </w:rPr>
              <w:t>:</w:t>
            </w:r>
          </w:p>
          <w:p w14:paraId="2F35C2FA" w14:textId="4575F201" w:rsidR="00C44B6F" w:rsidRPr="009E74AA" w:rsidRDefault="00864C6C"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Submitting</w:t>
            </w:r>
            <w:r w:rsidR="00C44B6F" w:rsidRPr="009E74AA">
              <w:rPr>
                <w:rFonts w:ascii="Times New Roman" w:hAnsi="Times New Roman" w:cs="Times New Roman"/>
                <w:lang w:val="en-GB"/>
              </w:rPr>
              <w:t xml:space="preserve"> the draft evaluation plan to the European Commission;</w:t>
            </w:r>
          </w:p>
          <w:p w14:paraId="73AA9E75" w14:textId="32FDF8D7" w:rsidR="00C44B6F" w:rsidRPr="009E74AA" w:rsidRDefault="00C44B6F"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Presenting the evaluation plan to the Monitoring Committee for consideration and approval;</w:t>
            </w:r>
          </w:p>
          <w:p w14:paraId="3B8ABD9E" w14:textId="75283185" w:rsidR="00C44B6F" w:rsidRPr="009E74AA" w:rsidRDefault="00C44B6F"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Publishing the evaluation plan online;</w:t>
            </w:r>
          </w:p>
          <w:p w14:paraId="0D669A43" w14:textId="22EF27AB" w:rsidR="00C44B6F" w:rsidRPr="009E74AA" w:rsidRDefault="00C44B6F"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Preparing documentation for the procurement of evaluation services and organising the procurement;</w:t>
            </w:r>
          </w:p>
          <w:p w14:paraId="416DC8AC" w14:textId="7748D53C" w:rsidR="00C44B6F" w:rsidRPr="009E74AA" w:rsidRDefault="00C44B6F"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Selecting evaluators and concluding a contract for evaluation services;</w:t>
            </w:r>
          </w:p>
          <w:p w14:paraId="0D0EE1AF" w14:textId="09C9F224" w:rsidR="00C44B6F" w:rsidRPr="009E74AA" w:rsidRDefault="00C44B6F"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Carrying out the evaluation and presenting interim evaluation results to the Managing Authority;</w:t>
            </w:r>
          </w:p>
          <w:p w14:paraId="75D40F60" w14:textId="41A05967" w:rsidR="00C44B6F" w:rsidRPr="009E74AA" w:rsidRDefault="00C44B6F"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 xml:space="preserve">Preparing </w:t>
            </w:r>
            <w:r w:rsidR="00864C6C" w:rsidRPr="009E74AA">
              <w:rPr>
                <w:rFonts w:ascii="Times New Roman" w:hAnsi="Times New Roman" w:cs="Times New Roman"/>
                <w:lang w:val="en-GB"/>
              </w:rPr>
              <w:t xml:space="preserve">the evaluation </w:t>
            </w:r>
            <w:r w:rsidR="009E74AA" w:rsidRPr="009E74AA">
              <w:rPr>
                <w:rFonts w:ascii="Times New Roman" w:hAnsi="Times New Roman" w:cs="Times New Roman"/>
                <w:lang w:val="en-GB"/>
              </w:rPr>
              <w:t>report</w:t>
            </w:r>
            <w:r w:rsidR="00864C6C" w:rsidRPr="009E74AA">
              <w:rPr>
                <w:rFonts w:ascii="Times New Roman" w:hAnsi="Times New Roman" w:cs="Times New Roman"/>
                <w:lang w:val="en-GB"/>
              </w:rPr>
              <w:t xml:space="preserve"> and presenting final evaluation results to the Managing Authority;</w:t>
            </w:r>
          </w:p>
          <w:p w14:paraId="442E7961" w14:textId="6644ABA7" w:rsidR="00864C6C" w:rsidRPr="009E74AA" w:rsidRDefault="009E74AA"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Submitting</w:t>
            </w:r>
            <w:r w:rsidR="00864C6C" w:rsidRPr="009E74AA">
              <w:rPr>
                <w:rFonts w:ascii="Times New Roman" w:hAnsi="Times New Roman" w:cs="Times New Roman"/>
                <w:lang w:val="en-GB"/>
              </w:rPr>
              <w:t xml:space="preserve"> the evaluation report to the European Commission;</w:t>
            </w:r>
          </w:p>
          <w:p w14:paraId="4FDE166B" w14:textId="2E0644F7" w:rsidR="00864C6C" w:rsidRPr="009E74AA" w:rsidRDefault="00864C6C"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 xml:space="preserve">Presenting the evaluation report to the </w:t>
            </w:r>
            <w:r w:rsidR="009E74AA" w:rsidRPr="009E74AA">
              <w:rPr>
                <w:rFonts w:ascii="Times New Roman" w:hAnsi="Times New Roman" w:cs="Times New Roman"/>
                <w:lang w:val="en-GB"/>
              </w:rPr>
              <w:t>Monitoring</w:t>
            </w:r>
            <w:r w:rsidRPr="009E74AA">
              <w:rPr>
                <w:rFonts w:ascii="Times New Roman" w:hAnsi="Times New Roman" w:cs="Times New Roman"/>
                <w:lang w:val="en-GB"/>
              </w:rPr>
              <w:t xml:space="preserve"> Committee;</w:t>
            </w:r>
          </w:p>
          <w:p w14:paraId="551D4A0D" w14:textId="3F4E68C9" w:rsidR="00864C6C" w:rsidRPr="009E74AA" w:rsidRDefault="00864C6C" w:rsidP="001278D2">
            <w:pPr>
              <w:pStyle w:val="ListParagraph"/>
              <w:numPr>
                <w:ilvl w:val="0"/>
                <w:numId w:val="2"/>
              </w:numPr>
              <w:jc w:val="both"/>
              <w:rPr>
                <w:rFonts w:ascii="Times New Roman" w:hAnsi="Times New Roman" w:cs="Times New Roman"/>
                <w:lang w:val="en-GB"/>
              </w:rPr>
            </w:pPr>
            <w:r w:rsidRPr="009E74AA">
              <w:rPr>
                <w:rFonts w:ascii="Times New Roman" w:hAnsi="Times New Roman" w:cs="Times New Roman"/>
                <w:lang w:val="en-GB"/>
              </w:rPr>
              <w:t>Publishing the evaluation report online.</w:t>
            </w:r>
          </w:p>
          <w:p w14:paraId="5B8C654D" w14:textId="77777777" w:rsidR="00002EB1" w:rsidRPr="009E74AA" w:rsidRDefault="00002EB1" w:rsidP="001278D2">
            <w:pPr>
              <w:jc w:val="both"/>
              <w:rPr>
                <w:rFonts w:ascii="Times New Roman" w:hAnsi="Times New Roman" w:cs="Times New Roman"/>
                <w:lang w:val="en-GB"/>
              </w:rPr>
            </w:pPr>
          </w:p>
          <w:p w14:paraId="34172419" w14:textId="19EE4353" w:rsidR="00002EB1" w:rsidRPr="009E74AA" w:rsidRDefault="00864C6C" w:rsidP="00002EB1">
            <w:pPr>
              <w:jc w:val="both"/>
              <w:rPr>
                <w:rFonts w:ascii="Times New Roman" w:hAnsi="Times New Roman" w:cs="Times New Roman"/>
                <w:lang w:val="en-GB"/>
              </w:rPr>
            </w:pPr>
            <w:r w:rsidRPr="009E74AA">
              <w:rPr>
                <w:rFonts w:ascii="Times New Roman" w:hAnsi="Times New Roman" w:cs="Times New Roman"/>
                <w:lang w:val="en-GB"/>
              </w:rPr>
              <w:t>Preliminary schedule of drawing up the evaluation plan</w:t>
            </w:r>
            <w:r w:rsidR="00002EB1" w:rsidRPr="009E74AA">
              <w:rPr>
                <w:rFonts w:ascii="Times New Roman" w:hAnsi="Times New Roman" w:cs="Times New Roman"/>
                <w:lang w:val="en-GB"/>
              </w:rPr>
              <w:t>:</w:t>
            </w:r>
          </w:p>
          <w:p w14:paraId="76D0A6D9" w14:textId="58D1ED0C" w:rsidR="00002EB1" w:rsidRPr="009E74AA" w:rsidRDefault="00864C6C" w:rsidP="00C92939">
            <w:pPr>
              <w:pStyle w:val="ListParagraph"/>
              <w:numPr>
                <w:ilvl w:val="0"/>
                <w:numId w:val="7"/>
              </w:numPr>
              <w:ind w:left="739"/>
              <w:jc w:val="both"/>
              <w:rPr>
                <w:rFonts w:ascii="Times New Roman" w:hAnsi="Times New Roman" w:cs="Times New Roman"/>
                <w:lang w:val="en-GB"/>
              </w:rPr>
            </w:pPr>
            <w:r w:rsidRPr="009E74AA">
              <w:rPr>
                <w:rFonts w:ascii="Times New Roman" w:hAnsi="Times New Roman" w:cs="Times New Roman"/>
                <w:lang w:val="en-GB"/>
              </w:rPr>
              <w:t xml:space="preserve">QII-III </w:t>
            </w:r>
            <w:r w:rsidR="000F53DC" w:rsidRPr="009E74AA">
              <w:rPr>
                <w:rFonts w:ascii="Times New Roman" w:hAnsi="Times New Roman" w:cs="Times New Roman"/>
                <w:lang w:val="en-GB"/>
              </w:rPr>
              <w:t>2023</w:t>
            </w:r>
            <w:r w:rsidR="008D722D" w:rsidRPr="009E74AA">
              <w:rPr>
                <w:rFonts w:ascii="Times New Roman" w:hAnsi="Times New Roman" w:cs="Times New Roman"/>
                <w:lang w:val="en-GB"/>
              </w:rPr>
              <w:t xml:space="preserve"> </w:t>
            </w:r>
            <w:r w:rsidR="00002EB1" w:rsidRPr="009E74AA">
              <w:rPr>
                <w:rFonts w:ascii="Times New Roman" w:hAnsi="Times New Roman" w:cs="Times New Roman"/>
                <w:lang w:val="en-GB"/>
              </w:rPr>
              <w:t xml:space="preserve">– </w:t>
            </w:r>
            <w:r w:rsidR="002B35BB" w:rsidRPr="009E74AA">
              <w:rPr>
                <w:rFonts w:ascii="Times New Roman" w:hAnsi="Times New Roman" w:cs="Times New Roman"/>
                <w:lang w:val="en-GB"/>
              </w:rPr>
              <w:t>Submitting the draft evaluation plan to the European Commission</w:t>
            </w:r>
            <w:r w:rsidR="00002EB1" w:rsidRPr="009E74AA">
              <w:rPr>
                <w:rFonts w:ascii="Times New Roman" w:hAnsi="Times New Roman" w:cs="Times New Roman"/>
                <w:lang w:val="en-GB"/>
              </w:rPr>
              <w:t>;</w:t>
            </w:r>
          </w:p>
          <w:p w14:paraId="3D9DD5E2" w14:textId="499A8833" w:rsidR="000F53DC" w:rsidRPr="009E74AA" w:rsidRDefault="00864C6C" w:rsidP="00C92939">
            <w:pPr>
              <w:pStyle w:val="ListParagraph"/>
              <w:numPr>
                <w:ilvl w:val="0"/>
                <w:numId w:val="7"/>
              </w:numPr>
              <w:ind w:left="739"/>
              <w:jc w:val="both"/>
              <w:rPr>
                <w:rFonts w:ascii="Times New Roman" w:hAnsi="Times New Roman" w:cs="Times New Roman"/>
                <w:lang w:val="en-GB"/>
              </w:rPr>
            </w:pPr>
            <w:r w:rsidRPr="009E74AA">
              <w:rPr>
                <w:rFonts w:ascii="Times New Roman" w:hAnsi="Times New Roman" w:cs="Times New Roman"/>
                <w:lang w:val="en-GB"/>
              </w:rPr>
              <w:t xml:space="preserve">QIII </w:t>
            </w:r>
            <w:r w:rsidR="000F53DC" w:rsidRPr="009E74AA">
              <w:rPr>
                <w:rFonts w:ascii="Times New Roman" w:hAnsi="Times New Roman" w:cs="Times New Roman"/>
                <w:lang w:val="en-GB"/>
              </w:rPr>
              <w:t xml:space="preserve">2023 </w:t>
            </w:r>
            <w:r w:rsidR="00002EB1" w:rsidRPr="009E74AA">
              <w:rPr>
                <w:rFonts w:ascii="Times New Roman" w:hAnsi="Times New Roman" w:cs="Times New Roman"/>
                <w:lang w:val="en-GB"/>
              </w:rPr>
              <w:t xml:space="preserve">– </w:t>
            </w:r>
            <w:r w:rsidR="002B35BB" w:rsidRPr="009E74AA">
              <w:rPr>
                <w:rFonts w:ascii="Times New Roman" w:hAnsi="Times New Roman" w:cs="Times New Roman"/>
                <w:lang w:val="en-GB"/>
              </w:rPr>
              <w:t>Presenting the evaluation plan to the Monitoring Committee for consideration and approval</w:t>
            </w:r>
            <w:r w:rsidR="000F53DC" w:rsidRPr="009E74AA">
              <w:rPr>
                <w:rFonts w:ascii="Times New Roman" w:hAnsi="Times New Roman" w:cs="Times New Roman"/>
                <w:lang w:val="en-GB"/>
              </w:rPr>
              <w:t>;</w:t>
            </w:r>
          </w:p>
          <w:p w14:paraId="6B230D19" w14:textId="6283906C" w:rsidR="00002EB1" w:rsidRPr="009E74AA" w:rsidRDefault="00864C6C" w:rsidP="00C92939">
            <w:pPr>
              <w:pStyle w:val="ListParagraph"/>
              <w:numPr>
                <w:ilvl w:val="0"/>
                <w:numId w:val="7"/>
              </w:numPr>
              <w:ind w:left="739"/>
              <w:jc w:val="both"/>
              <w:rPr>
                <w:rFonts w:ascii="Times New Roman" w:hAnsi="Times New Roman" w:cs="Times New Roman"/>
                <w:lang w:val="en-GB"/>
              </w:rPr>
            </w:pPr>
            <w:r w:rsidRPr="009E74AA">
              <w:rPr>
                <w:rFonts w:ascii="Times New Roman" w:hAnsi="Times New Roman" w:cs="Times New Roman"/>
                <w:lang w:val="en-GB"/>
              </w:rPr>
              <w:t xml:space="preserve">QIII </w:t>
            </w:r>
            <w:r w:rsidR="000F53DC" w:rsidRPr="009E74AA">
              <w:rPr>
                <w:rFonts w:ascii="Times New Roman" w:hAnsi="Times New Roman" w:cs="Times New Roman"/>
                <w:lang w:val="en-GB"/>
              </w:rPr>
              <w:t xml:space="preserve">2023 – </w:t>
            </w:r>
            <w:r w:rsidR="002B35BB" w:rsidRPr="009E74AA">
              <w:rPr>
                <w:rFonts w:ascii="Times New Roman" w:hAnsi="Times New Roman" w:cs="Times New Roman"/>
                <w:lang w:val="en-GB"/>
              </w:rPr>
              <w:t>Publishing the evaluation plan online</w:t>
            </w:r>
            <w:r w:rsidR="000F53DC" w:rsidRPr="009E74AA">
              <w:rPr>
                <w:rFonts w:ascii="Times New Roman" w:hAnsi="Times New Roman" w:cs="Times New Roman"/>
                <w:lang w:val="en-GB"/>
              </w:rPr>
              <w:t>.</w:t>
            </w:r>
          </w:p>
          <w:p w14:paraId="3ABA7BA8" w14:textId="77777777" w:rsidR="00002EB1" w:rsidRPr="009E74AA" w:rsidRDefault="00002EB1" w:rsidP="001278D2">
            <w:pPr>
              <w:jc w:val="both"/>
              <w:rPr>
                <w:rFonts w:ascii="Times New Roman" w:hAnsi="Times New Roman" w:cs="Times New Roman"/>
                <w:lang w:val="en-GB"/>
              </w:rPr>
            </w:pPr>
          </w:p>
          <w:p w14:paraId="1F26B460" w14:textId="58A43086" w:rsidR="001278D2" w:rsidRPr="009E74AA" w:rsidRDefault="002B35BB" w:rsidP="001278D2">
            <w:pPr>
              <w:jc w:val="both"/>
              <w:rPr>
                <w:rFonts w:ascii="Times New Roman" w:hAnsi="Times New Roman" w:cs="Times New Roman"/>
                <w:lang w:val="en-GB"/>
              </w:rPr>
            </w:pPr>
            <w:r w:rsidRPr="009E74AA">
              <w:rPr>
                <w:rFonts w:ascii="Times New Roman" w:hAnsi="Times New Roman" w:cs="Times New Roman"/>
                <w:lang w:val="en-GB"/>
              </w:rPr>
              <w:t>Preliminary schedule of the mid-term evaluation</w:t>
            </w:r>
            <w:r w:rsidR="001278D2" w:rsidRPr="009E74AA">
              <w:rPr>
                <w:rFonts w:ascii="Times New Roman" w:hAnsi="Times New Roman" w:cs="Times New Roman"/>
                <w:lang w:val="en-GB"/>
              </w:rPr>
              <w:t>:</w:t>
            </w:r>
          </w:p>
          <w:p w14:paraId="2AE28046" w14:textId="060FEF4D" w:rsidR="001278D2" w:rsidRPr="009E74AA" w:rsidRDefault="00864C6C" w:rsidP="001278D2">
            <w:pPr>
              <w:pStyle w:val="ListParagraph"/>
              <w:numPr>
                <w:ilvl w:val="0"/>
                <w:numId w:val="5"/>
              </w:numPr>
              <w:jc w:val="both"/>
              <w:rPr>
                <w:rFonts w:ascii="Times New Roman" w:hAnsi="Times New Roman" w:cs="Times New Roman"/>
                <w:lang w:val="en-GB"/>
              </w:rPr>
            </w:pPr>
            <w:r w:rsidRPr="009E74AA">
              <w:rPr>
                <w:rFonts w:ascii="Times New Roman" w:hAnsi="Times New Roman" w:cs="Times New Roman"/>
                <w:lang w:val="en-GB"/>
              </w:rPr>
              <w:t xml:space="preserve">QIII </w:t>
            </w:r>
            <w:r w:rsidR="001278D2" w:rsidRPr="009E74AA">
              <w:rPr>
                <w:rFonts w:ascii="Times New Roman" w:hAnsi="Times New Roman" w:cs="Times New Roman"/>
                <w:lang w:val="en-GB"/>
              </w:rPr>
              <w:t xml:space="preserve">2023 – </w:t>
            </w:r>
            <w:r w:rsidR="002B35BB" w:rsidRPr="009E74AA">
              <w:rPr>
                <w:rFonts w:ascii="Times New Roman" w:hAnsi="Times New Roman" w:cs="Times New Roman"/>
                <w:lang w:val="en-GB"/>
              </w:rPr>
              <w:t>Preparing documentation for the procurement of evaluation services and organising the procurement</w:t>
            </w:r>
            <w:r w:rsidR="001278D2" w:rsidRPr="009E74AA">
              <w:rPr>
                <w:rFonts w:ascii="Times New Roman" w:hAnsi="Times New Roman" w:cs="Times New Roman"/>
                <w:lang w:val="en-GB"/>
              </w:rPr>
              <w:t xml:space="preserve">; </w:t>
            </w:r>
          </w:p>
          <w:p w14:paraId="4E5FB626" w14:textId="27589ECE" w:rsidR="001278D2" w:rsidRPr="009E74AA" w:rsidRDefault="00864C6C" w:rsidP="001278D2">
            <w:pPr>
              <w:pStyle w:val="ListParagraph"/>
              <w:numPr>
                <w:ilvl w:val="0"/>
                <w:numId w:val="5"/>
              </w:numPr>
              <w:jc w:val="both"/>
              <w:rPr>
                <w:rFonts w:ascii="Times New Roman" w:hAnsi="Times New Roman" w:cs="Times New Roman"/>
                <w:lang w:val="en-GB"/>
              </w:rPr>
            </w:pPr>
            <w:r w:rsidRPr="009E74AA">
              <w:rPr>
                <w:rFonts w:ascii="Times New Roman" w:hAnsi="Times New Roman" w:cs="Times New Roman"/>
                <w:lang w:val="en-GB"/>
              </w:rPr>
              <w:t xml:space="preserve">QIV </w:t>
            </w:r>
            <w:r w:rsidR="001278D2" w:rsidRPr="009E74AA">
              <w:rPr>
                <w:rFonts w:ascii="Times New Roman" w:hAnsi="Times New Roman" w:cs="Times New Roman"/>
                <w:lang w:val="en-GB"/>
              </w:rPr>
              <w:t xml:space="preserve">2023 – </w:t>
            </w:r>
            <w:r w:rsidR="002B35BB" w:rsidRPr="009E74AA">
              <w:rPr>
                <w:rFonts w:ascii="Times New Roman" w:hAnsi="Times New Roman" w:cs="Times New Roman"/>
                <w:lang w:val="en-GB"/>
              </w:rPr>
              <w:t>Selecting evaluators and concluding a contract for evaluation services</w:t>
            </w:r>
            <w:r w:rsidR="001278D2" w:rsidRPr="009E74AA">
              <w:rPr>
                <w:rFonts w:ascii="Times New Roman" w:hAnsi="Times New Roman" w:cs="Times New Roman"/>
                <w:lang w:val="en-GB"/>
              </w:rPr>
              <w:t xml:space="preserve">; </w:t>
            </w:r>
          </w:p>
          <w:p w14:paraId="48DBBCE6" w14:textId="07783455" w:rsidR="001278D2" w:rsidRPr="009E74AA" w:rsidRDefault="00864C6C" w:rsidP="001278D2">
            <w:pPr>
              <w:pStyle w:val="ListParagraph"/>
              <w:numPr>
                <w:ilvl w:val="0"/>
                <w:numId w:val="5"/>
              </w:numPr>
              <w:jc w:val="both"/>
              <w:rPr>
                <w:rFonts w:ascii="Times New Roman" w:hAnsi="Times New Roman" w:cs="Times New Roman"/>
                <w:lang w:val="en-GB"/>
              </w:rPr>
            </w:pPr>
            <w:r w:rsidRPr="009E74AA">
              <w:rPr>
                <w:rFonts w:ascii="Times New Roman" w:hAnsi="Times New Roman" w:cs="Times New Roman"/>
                <w:lang w:val="en-GB"/>
              </w:rPr>
              <w:t xml:space="preserve">QIV </w:t>
            </w:r>
            <w:r w:rsidR="001278D2" w:rsidRPr="009E74AA">
              <w:rPr>
                <w:rFonts w:ascii="Times New Roman" w:hAnsi="Times New Roman" w:cs="Times New Roman"/>
                <w:lang w:val="en-GB"/>
              </w:rPr>
              <w:t>2023 –</w:t>
            </w:r>
            <w:r w:rsidRPr="009E74AA">
              <w:rPr>
                <w:rFonts w:ascii="Times New Roman" w:hAnsi="Times New Roman" w:cs="Times New Roman"/>
                <w:lang w:val="en-GB"/>
              </w:rPr>
              <w:t xml:space="preserve"> QI </w:t>
            </w:r>
            <w:r w:rsidR="001278D2" w:rsidRPr="009E74AA">
              <w:rPr>
                <w:rFonts w:ascii="Times New Roman" w:hAnsi="Times New Roman" w:cs="Times New Roman"/>
                <w:lang w:val="en-GB"/>
              </w:rPr>
              <w:t>2024 –</w:t>
            </w:r>
            <w:r w:rsidR="000A52F6" w:rsidRPr="009E74AA">
              <w:rPr>
                <w:rFonts w:ascii="Times New Roman" w:hAnsi="Times New Roman" w:cs="Times New Roman"/>
                <w:lang w:val="en-GB"/>
              </w:rPr>
              <w:t xml:space="preserve"> </w:t>
            </w:r>
            <w:r w:rsidR="002B35BB" w:rsidRPr="009E74AA">
              <w:rPr>
                <w:rFonts w:ascii="Times New Roman" w:hAnsi="Times New Roman" w:cs="Times New Roman"/>
                <w:lang w:val="en-GB"/>
              </w:rPr>
              <w:t>Carrying out the evaluation and presenting interim and final evaluation results to the Managing Authority, completing the evaluation report;</w:t>
            </w:r>
          </w:p>
          <w:p w14:paraId="30EAAF61" w14:textId="531F581E" w:rsidR="001278D2" w:rsidRPr="009E74AA" w:rsidRDefault="002B35BB" w:rsidP="001278D2">
            <w:pPr>
              <w:pStyle w:val="ListParagraph"/>
              <w:numPr>
                <w:ilvl w:val="0"/>
                <w:numId w:val="5"/>
              </w:numPr>
              <w:jc w:val="both"/>
              <w:rPr>
                <w:rFonts w:ascii="Times New Roman" w:hAnsi="Times New Roman" w:cs="Times New Roman"/>
                <w:lang w:val="en-GB"/>
              </w:rPr>
            </w:pPr>
            <w:r w:rsidRPr="009E74AA">
              <w:rPr>
                <w:rFonts w:ascii="Times New Roman" w:hAnsi="Times New Roman" w:cs="Times New Roman"/>
                <w:lang w:val="en-GB"/>
              </w:rPr>
              <w:t xml:space="preserve">By 31 March </w:t>
            </w:r>
            <w:r w:rsidR="001278D2" w:rsidRPr="009E74AA">
              <w:rPr>
                <w:rFonts w:ascii="Times New Roman" w:hAnsi="Times New Roman" w:cs="Times New Roman"/>
                <w:lang w:val="en-GB"/>
              </w:rPr>
              <w:t>2024 (</w:t>
            </w:r>
            <w:r w:rsidRPr="009E74AA">
              <w:rPr>
                <w:rFonts w:ascii="Times New Roman" w:hAnsi="Times New Roman" w:cs="Times New Roman"/>
                <w:lang w:val="en-GB"/>
              </w:rPr>
              <w:t>or another deadline set by the European Commission</w:t>
            </w:r>
            <w:r w:rsidR="001278D2" w:rsidRPr="009E74AA">
              <w:rPr>
                <w:rFonts w:ascii="Times New Roman" w:hAnsi="Times New Roman" w:cs="Times New Roman"/>
                <w:lang w:val="en-GB"/>
              </w:rPr>
              <w:t xml:space="preserve">) – </w:t>
            </w:r>
            <w:r w:rsidR="009E74AA" w:rsidRPr="009E74AA">
              <w:rPr>
                <w:rFonts w:ascii="Times New Roman" w:hAnsi="Times New Roman" w:cs="Times New Roman"/>
                <w:lang w:val="en-GB"/>
              </w:rPr>
              <w:t>Submitting</w:t>
            </w:r>
            <w:r w:rsidRPr="009E74AA">
              <w:rPr>
                <w:rFonts w:ascii="Times New Roman" w:hAnsi="Times New Roman" w:cs="Times New Roman"/>
                <w:lang w:val="en-GB"/>
              </w:rPr>
              <w:t xml:space="preserve"> the evaluation report to the European Commission</w:t>
            </w:r>
            <w:r w:rsidR="001278D2" w:rsidRPr="009E74AA">
              <w:rPr>
                <w:rFonts w:ascii="Times New Roman" w:hAnsi="Times New Roman" w:cs="Times New Roman"/>
                <w:lang w:val="en-GB"/>
              </w:rPr>
              <w:t xml:space="preserve">; </w:t>
            </w:r>
          </w:p>
          <w:p w14:paraId="3656DE53" w14:textId="150B7DF6" w:rsidR="001278D2" w:rsidRPr="009E74AA" w:rsidRDefault="00864C6C" w:rsidP="001278D2">
            <w:pPr>
              <w:pStyle w:val="ListParagraph"/>
              <w:numPr>
                <w:ilvl w:val="0"/>
                <w:numId w:val="5"/>
              </w:numPr>
              <w:jc w:val="both"/>
              <w:rPr>
                <w:rFonts w:ascii="Times New Roman" w:hAnsi="Times New Roman" w:cs="Times New Roman"/>
                <w:lang w:val="en-GB"/>
              </w:rPr>
            </w:pPr>
            <w:r w:rsidRPr="009E74AA">
              <w:rPr>
                <w:rFonts w:ascii="Times New Roman" w:hAnsi="Times New Roman" w:cs="Times New Roman"/>
                <w:lang w:val="en-GB"/>
              </w:rPr>
              <w:t xml:space="preserve">QII </w:t>
            </w:r>
            <w:r w:rsidR="001278D2" w:rsidRPr="009E74AA">
              <w:rPr>
                <w:rFonts w:ascii="Times New Roman" w:hAnsi="Times New Roman" w:cs="Times New Roman"/>
                <w:lang w:val="en-GB"/>
              </w:rPr>
              <w:t xml:space="preserve">2024 – </w:t>
            </w:r>
            <w:r w:rsidR="002B35BB" w:rsidRPr="009E74AA">
              <w:rPr>
                <w:rFonts w:ascii="Times New Roman" w:hAnsi="Times New Roman" w:cs="Times New Roman"/>
                <w:lang w:val="en-GB"/>
              </w:rPr>
              <w:t xml:space="preserve">Presenting the evaluation report to the </w:t>
            </w:r>
            <w:r w:rsidR="009E74AA" w:rsidRPr="009E74AA">
              <w:rPr>
                <w:rFonts w:ascii="Times New Roman" w:hAnsi="Times New Roman" w:cs="Times New Roman"/>
                <w:lang w:val="en-GB"/>
              </w:rPr>
              <w:t>Monitoring</w:t>
            </w:r>
            <w:r w:rsidR="002B35BB" w:rsidRPr="009E74AA">
              <w:rPr>
                <w:rFonts w:ascii="Times New Roman" w:hAnsi="Times New Roman" w:cs="Times New Roman"/>
                <w:lang w:val="en-GB"/>
              </w:rPr>
              <w:t xml:space="preserve"> Committee</w:t>
            </w:r>
            <w:r w:rsidR="000F53DC" w:rsidRPr="009E74AA">
              <w:rPr>
                <w:rFonts w:ascii="Times New Roman" w:hAnsi="Times New Roman" w:cs="Times New Roman"/>
                <w:lang w:val="en-GB"/>
              </w:rPr>
              <w:t>;</w:t>
            </w:r>
          </w:p>
          <w:p w14:paraId="3D9BF7EF" w14:textId="455C1C20" w:rsidR="000F53DC" w:rsidRPr="009E74AA" w:rsidRDefault="00864C6C" w:rsidP="001278D2">
            <w:pPr>
              <w:pStyle w:val="ListParagraph"/>
              <w:numPr>
                <w:ilvl w:val="0"/>
                <w:numId w:val="5"/>
              </w:numPr>
              <w:jc w:val="both"/>
              <w:rPr>
                <w:rFonts w:ascii="Times New Roman" w:hAnsi="Times New Roman" w:cs="Times New Roman"/>
                <w:lang w:val="en-GB"/>
              </w:rPr>
            </w:pPr>
            <w:r w:rsidRPr="009E74AA">
              <w:rPr>
                <w:rFonts w:ascii="Times New Roman" w:hAnsi="Times New Roman" w:cs="Times New Roman"/>
                <w:lang w:val="en-GB"/>
              </w:rPr>
              <w:t xml:space="preserve">QII </w:t>
            </w:r>
            <w:r w:rsidR="007E30CC" w:rsidRPr="009E74AA">
              <w:rPr>
                <w:rFonts w:ascii="Times New Roman" w:hAnsi="Times New Roman" w:cs="Times New Roman"/>
                <w:lang w:val="en-GB"/>
              </w:rPr>
              <w:t>2024 –</w:t>
            </w:r>
            <w:r w:rsidR="000F53DC" w:rsidRPr="009E74AA">
              <w:rPr>
                <w:rFonts w:ascii="Times New Roman" w:hAnsi="Times New Roman" w:cs="Times New Roman"/>
                <w:lang w:val="en-GB"/>
              </w:rPr>
              <w:t xml:space="preserve"> </w:t>
            </w:r>
            <w:r w:rsidR="002B35BB" w:rsidRPr="009E74AA">
              <w:rPr>
                <w:rFonts w:ascii="Times New Roman" w:hAnsi="Times New Roman" w:cs="Times New Roman"/>
                <w:lang w:val="en-GB"/>
              </w:rPr>
              <w:t>Publishing the evaluation report online</w:t>
            </w:r>
            <w:r w:rsidR="000F53DC" w:rsidRPr="009E74AA">
              <w:rPr>
                <w:rFonts w:ascii="Times New Roman" w:hAnsi="Times New Roman" w:cs="Times New Roman"/>
                <w:lang w:val="en-GB"/>
              </w:rPr>
              <w:t>.</w:t>
            </w:r>
          </w:p>
          <w:p w14:paraId="0FA4AE07" w14:textId="77777777" w:rsidR="00FB0367" w:rsidRPr="009E74AA" w:rsidRDefault="00FB0367" w:rsidP="00FB0367">
            <w:pPr>
              <w:pStyle w:val="ListParagraph"/>
              <w:jc w:val="both"/>
              <w:rPr>
                <w:rFonts w:ascii="Times New Roman" w:hAnsi="Times New Roman" w:cs="Times New Roman"/>
                <w:lang w:val="en-GB"/>
              </w:rPr>
            </w:pPr>
          </w:p>
          <w:p w14:paraId="2383673D" w14:textId="1923F8F1" w:rsidR="001278D2" w:rsidRPr="009E74AA" w:rsidRDefault="002B35BB" w:rsidP="00FB0367">
            <w:pPr>
              <w:spacing w:after="120"/>
              <w:jc w:val="both"/>
              <w:rPr>
                <w:rFonts w:ascii="Times New Roman" w:hAnsi="Times New Roman" w:cs="Times New Roman"/>
                <w:lang w:val="en-GB"/>
              </w:rPr>
            </w:pPr>
            <w:r w:rsidRPr="009E74AA">
              <w:rPr>
                <w:rFonts w:ascii="Times New Roman" w:hAnsi="Times New Roman" w:cs="Times New Roman"/>
                <w:lang w:val="en-GB"/>
              </w:rPr>
              <w:t xml:space="preserve">A preliminary schedule of the final evaluation process will be planned later. </w:t>
            </w:r>
          </w:p>
        </w:tc>
      </w:tr>
      <w:tr w:rsidR="001278D2" w:rsidRPr="009E74AA" w14:paraId="01F3763E" w14:textId="77777777" w:rsidTr="007701D5">
        <w:tc>
          <w:tcPr>
            <w:tcW w:w="3114" w:type="dxa"/>
            <w:shd w:val="clear" w:color="auto" w:fill="F2F2F2" w:themeFill="background1" w:themeFillShade="F2"/>
          </w:tcPr>
          <w:p w14:paraId="71AA910D" w14:textId="33B5E1CC" w:rsidR="001278D2" w:rsidRPr="009E74AA" w:rsidRDefault="002B35BB" w:rsidP="001278D2">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lastRenderedPageBreak/>
              <w:t xml:space="preserve">Preliminary budget </w:t>
            </w:r>
          </w:p>
        </w:tc>
        <w:tc>
          <w:tcPr>
            <w:tcW w:w="11340" w:type="dxa"/>
          </w:tcPr>
          <w:p w14:paraId="378B9C2F" w14:textId="103D5706" w:rsidR="001278D2" w:rsidRPr="009E74AA" w:rsidRDefault="00A7136F" w:rsidP="00FB0367">
            <w:pPr>
              <w:spacing w:after="120"/>
              <w:jc w:val="both"/>
              <w:rPr>
                <w:rFonts w:ascii="Times New Roman" w:hAnsi="Times New Roman" w:cs="Times New Roman"/>
                <w:lang w:val="en-GB"/>
              </w:rPr>
            </w:pPr>
            <w:r w:rsidRPr="009E74AA">
              <w:rPr>
                <w:rFonts w:ascii="Times New Roman" w:hAnsi="Times New Roman" w:cs="Times New Roman"/>
                <w:lang w:val="en-GB"/>
              </w:rPr>
              <w:t>Procurement of the evaluation services will be financed by the Programmes’ technical assistance funds. The</w:t>
            </w:r>
            <w:r w:rsidR="005837A8">
              <w:rPr>
                <w:rFonts w:ascii="Times New Roman" w:hAnsi="Times New Roman" w:cs="Times New Roman"/>
                <w:lang w:val="en-GB"/>
              </w:rPr>
              <w:t xml:space="preserve"> preliminary </w:t>
            </w:r>
            <w:r w:rsidRPr="009E74AA">
              <w:rPr>
                <w:rFonts w:ascii="Times New Roman" w:hAnsi="Times New Roman" w:cs="Times New Roman"/>
                <w:lang w:val="en-GB"/>
              </w:rPr>
              <w:t>budget of procurement of the evaluation services is included in the Managing Authority’s plan on public procurement of goods, services and works.</w:t>
            </w:r>
          </w:p>
        </w:tc>
      </w:tr>
      <w:tr w:rsidR="001278D2" w:rsidRPr="009E74AA" w14:paraId="3E38F7D5" w14:textId="77777777" w:rsidTr="007701D5">
        <w:tc>
          <w:tcPr>
            <w:tcW w:w="3114" w:type="dxa"/>
            <w:shd w:val="clear" w:color="auto" w:fill="F2F2F2" w:themeFill="background1" w:themeFillShade="F2"/>
          </w:tcPr>
          <w:p w14:paraId="740BE0B8" w14:textId="033EAEA7" w:rsidR="001278D2" w:rsidRPr="009E74AA" w:rsidRDefault="002B35BB" w:rsidP="001278D2">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 xml:space="preserve">Evaluation criteria </w:t>
            </w:r>
          </w:p>
        </w:tc>
        <w:tc>
          <w:tcPr>
            <w:tcW w:w="11340" w:type="dxa"/>
          </w:tcPr>
          <w:p w14:paraId="06B8D588" w14:textId="13EE38E1" w:rsidR="001278D2" w:rsidRPr="009E74AA" w:rsidRDefault="009E74AA" w:rsidP="001278D2">
            <w:pPr>
              <w:ind w:left="-42"/>
              <w:rPr>
                <w:rFonts w:ascii="Times New Roman" w:hAnsi="Times New Roman" w:cs="Times New Roman"/>
                <w:lang w:val="en-GB"/>
              </w:rPr>
            </w:pPr>
            <w:r w:rsidRPr="009E74AA">
              <w:rPr>
                <w:rFonts w:ascii="Times New Roman" w:hAnsi="Times New Roman" w:cs="Times New Roman"/>
                <w:lang w:val="en-GB"/>
              </w:rPr>
              <w:t>Mandatory</w:t>
            </w:r>
            <w:r w:rsidR="00A7136F" w:rsidRPr="009E74AA">
              <w:rPr>
                <w:rFonts w:ascii="Times New Roman" w:hAnsi="Times New Roman" w:cs="Times New Roman"/>
                <w:lang w:val="en-GB"/>
              </w:rPr>
              <w:t xml:space="preserve"> evaluation criteria</w:t>
            </w:r>
            <w:r w:rsidR="001278D2" w:rsidRPr="009E74AA">
              <w:rPr>
                <w:rFonts w:ascii="Times New Roman" w:hAnsi="Times New Roman" w:cs="Times New Roman"/>
                <w:lang w:val="en-GB"/>
              </w:rPr>
              <w:t>:</w:t>
            </w:r>
          </w:p>
          <w:p w14:paraId="7BE46EFC" w14:textId="256ABFEF" w:rsidR="001278D2" w:rsidRPr="009E74AA" w:rsidRDefault="00A7136F" w:rsidP="001278D2">
            <w:pPr>
              <w:pStyle w:val="ListParagraph"/>
              <w:numPr>
                <w:ilvl w:val="1"/>
                <w:numId w:val="1"/>
              </w:numPr>
              <w:ind w:left="318"/>
              <w:rPr>
                <w:rFonts w:ascii="Times New Roman" w:hAnsi="Times New Roman" w:cs="Times New Roman"/>
                <w:lang w:val="en-GB"/>
              </w:rPr>
            </w:pPr>
            <w:r w:rsidRPr="009E74AA">
              <w:rPr>
                <w:rFonts w:ascii="Times New Roman" w:hAnsi="Times New Roman" w:cs="Times New Roman"/>
                <w:lang w:val="en-GB"/>
              </w:rPr>
              <w:t>E</w:t>
            </w:r>
            <w:r w:rsidR="001278D2" w:rsidRPr="009E74AA">
              <w:rPr>
                <w:rFonts w:ascii="Times New Roman" w:hAnsi="Times New Roman" w:cs="Times New Roman"/>
                <w:lang w:val="en-GB"/>
              </w:rPr>
              <w:t>ffectiveness;</w:t>
            </w:r>
          </w:p>
          <w:p w14:paraId="0582BCAD" w14:textId="333DDFE2" w:rsidR="001278D2" w:rsidRPr="009E74AA" w:rsidRDefault="00A7136F" w:rsidP="001278D2">
            <w:pPr>
              <w:pStyle w:val="ListParagraph"/>
              <w:numPr>
                <w:ilvl w:val="1"/>
                <w:numId w:val="1"/>
              </w:numPr>
              <w:ind w:left="318"/>
              <w:rPr>
                <w:rFonts w:ascii="Times New Roman" w:hAnsi="Times New Roman" w:cs="Times New Roman"/>
                <w:lang w:val="en-GB"/>
              </w:rPr>
            </w:pPr>
            <w:r w:rsidRPr="009E74AA">
              <w:rPr>
                <w:rFonts w:ascii="Times New Roman" w:hAnsi="Times New Roman" w:cs="Times New Roman"/>
                <w:lang w:val="en-GB"/>
              </w:rPr>
              <w:t>E</w:t>
            </w:r>
            <w:r w:rsidR="001278D2" w:rsidRPr="009E74AA">
              <w:rPr>
                <w:rFonts w:ascii="Times New Roman" w:hAnsi="Times New Roman" w:cs="Times New Roman"/>
                <w:lang w:val="en-GB"/>
              </w:rPr>
              <w:t>fficiency;</w:t>
            </w:r>
          </w:p>
          <w:p w14:paraId="038CE788" w14:textId="67C2B445" w:rsidR="001278D2" w:rsidRPr="009E74AA" w:rsidRDefault="00A7136F" w:rsidP="001278D2">
            <w:pPr>
              <w:pStyle w:val="ListParagraph"/>
              <w:numPr>
                <w:ilvl w:val="1"/>
                <w:numId w:val="1"/>
              </w:numPr>
              <w:ind w:left="318"/>
              <w:rPr>
                <w:rFonts w:ascii="Times New Roman" w:hAnsi="Times New Roman" w:cs="Times New Roman"/>
                <w:lang w:val="en-GB"/>
              </w:rPr>
            </w:pPr>
            <w:r w:rsidRPr="009E74AA">
              <w:rPr>
                <w:rFonts w:ascii="Times New Roman" w:hAnsi="Times New Roman" w:cs="Times New Roman"/>
                <w:lang w:val="en-GB"/>
              </w:rPr>
              <w:t>R</w:t>
            </w:r>
            <w:r w:rsidR="001278D2" w:rsidRPr="009E74AA">
              <w:rPr>
                <w:rFonts w:ascii="Times New Roman" w:hAnsi="Times New Roman" w:cs="Times New Roman"/>
                <w:lang w:val="en-GB"/>
              </w:rPr>
              <w:t>elevance;</w:t>
            </w:r>
          </w:p>
          <w:p w14:paraId="4F9B061A" w14:textId="338AACBC" w:rsidR="001278D2" w:rsidRPr="009E74AA" w:rsidRDefault="00A7136F" w:rsidP="001278D2">
            <w:pPr>
              <w:pStyle w:val="ListParagraph"/>
              <w:numPr>
                <w:ilvl w:val="1"/>
                <w:numId w:val="1"/>
              </w:numPr>
              <w:ind w:left="318"/>
              <w:rPr>
                <w:rFonts w:ascii="Times New Roman" w:hAnsi="Times New Roman" w:cs="Times New Roman"/>
                <w:lang w:val="en-GB"/>
              </w:rPr>
            </w:pPr>
            <w:r w:rsidRPr="009E74AA">
              <w:rPr>
                <w:rFonts w:ascii="Times New Roman" w:hAnsi="Times New Roman" w:cs="Times New Roman"/>
                <w:lang w:val="en-GB"/>
              </w:rPr>
              <w:t>C</w:t>
            </w:r>
            <w:r w:rsidR="001278D2" w:rsidRPr="009E74AA">
              <w:rPr>
                <w:rFonts w:ascii="Times New Roman" w:hAnsi="Times New Roman" w:cs="Times New Roman"/>
                <w:lang w:val="en-GB"/>
              </w:rPr>
              <w:t>oherence;</w:t>
            </w:r>
          </w:p>
          <w:p w14:paraId="0945E80B" w14:textId="19141A33" w:rsidR="001278D2" w:rsidRPr="009E74AA" w:rsidRDefault="001278D2" w:rsidP="001278D2">
            <w:pPr>
              <w:pStyle w:val="ListParagraph"/>
              <w:numPr>
                <w:ilvl w:val="1"/>
                <w:numId w:val="1"/>
              </w:numPr>
              <w:ind w:left="318"/>
              <w:rPr>
                <w:rFonts w:ascii="Times New Roman" w:hAnsi="Times New Roman" w:cs="Times New Roman"/>
                <w:lang w:val="en-GB"/>
              </w:rPr>
            </w:pPr>
            <w:r w:rsidRPr="009E74AA">
              <w:rPr>
                <w:rFonts w:ascii="Times New Roman" w:hAnsi="Times New Roman" w:cs="Times New Roman"/>
                <w:lang w:val="en-GB"/>
              </w:rPr>
              <w:t>Union added value</w:t>
            </w:r>
            <w:r w:rsidR="00A7136F" w:rsidRPr="009E74AA">
              <w:rPr>
                <w:rFonts w:ascii="Times New Roman" w:hAnsi="Times New Roman" w:cs="Times New Roman"/>
                <w:lang w:val="en-GB"/>
              </w:rPr>
              <w:t>.</w:t>
            </w:r>
          </w:p>
          <w:p w14:paraId="75760201" w14:textId="77777777" w:rsidR="00A7136F" w:rsidRPr="009E74AA" w:rsidRDefault="00A7136F" w:rsidP="00A7136F">
            <w:pPr>
              <w:jc w:val="both"/>
              <w:rPr>
                <w:rFonts w:ascii="Times New Roman" w:hAnsi="Times New Roman" w:cs="Times New Roman"/>
                <w:lang w:val="en-GB"/>
              </w:rPr>
            </w:pPr>
            <w:r w:rsidRPr="009E74AA">
              <w:rPr>
                <w:rFonts w:ascii="Times New Roman" w:hAnsi="Times New Roman" w:cs="Times New Roman"/>
                <w:lang w:val="en-GB"/>
              </w:rPr>
              <w:t>The mandatory evaluation criteria will be set in the procurement documents for the evaluation services.</w:t>
            </w:r>
          </w:p>
          <w:p w14:paraId="0D20CBD9" w14:textId="2874EF6E" w:rsidR="00A7136F" w:rsidRPr="009E74AA" w:rsidRDefault="00A7136F" w:rsidP="00A7136F">
            <w:pPr>
              <w:jc w:val="both"/>
              <w:rPr>
                <w:rFonts w:ascii="Times New Roman" w:hAnsi="Times New Roman" w:cs="Times New Roman"/>
                <w:lang w:val="en-GB"/>
              </w:rPr>
            </w:pPr>
            <w:r w:rsidRPr="009E74AA">
              <w:rPr>
                <w:rFonts w:ascii="Times New Roman" w:hAnsi="Times New Roman" w:cs="Times New Roman"/>
                <w:lang w:val="en-GB"/>
              </w:rPr>
              <w:t>Additional evaluation criteria/evaluation aspects can be set in the procurement documents</w:t>
            </w:r>
            <w:r w:rsidR="00F15D0C" w:rsidRPr="009E74AA">
              <w:rPr>
                <w:rFonts w:ascii="Times New Roman" w:hAnsi="Times New Roman" w:cs="Times New Roman"/>
                <w:lang w:val="en-GB"/>
              </w:rPr>
              <w:t>, such as communication, visibility, horizontal principles, indicators of the Programme, best practices and/or other priority areas.</w:t>
            </w:r>
          </w:p>
        </w:tc>
      </w:tr>
      <w:tr w:rsidR="001278D2" w:rsidRPr="009E74AA" w14:paraId="1A3AFED7" w14:textId="77777777" w:rsidTr="007701D5">
        <w:tc>
          <w:tcPr>
            <w:tcW w:w="3114" w:type="dxa"/>
            <w:shd w:val="clear" w:color="auto" w:fill="F2F2F2" w:themeFill="background1" w:themeFillShade="F2"/>
          </w:tcPr>
          <w:p w14:paraId="2A888278" w14:textId="6833D51A" w:rsidR="001278D2" w:rsidRPr="009E74AA" w:rsidRDefault="00A7136F" w:rsidP="00FB0367">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t xml:space="preserve">Scope and questions of evaluations </w:t>
            </w:r>
          </w:p>
        </w:tc>
        <w:tc>
          <w:tcPr>
            <w:tcW w:w="11340" w:type="dxa"/>
          </w:tcPr>
          <w:p w14:paraId="5201F223" w14:textId="69CBDEEB" w:rsidR="001278D2" w:rsidRPr="009E74AA" w:rsidRDefault="00F15D0C" w:rsidP="001278D2">
            <w:pPr>
              <w:jc w:val="both"/>
              <w:rPr>
                <w:rFonts w:ascii="Times New Roman" w:hAnsi="Times New Roman" w:cs="Times New Roman"/>
                <w:b/>
                <w:bCs/>
                <w:lang w:val="en-GB"/>
              </w:rPr>
            </w:pPr>
            <w:r w:rsidRPr="009E74AA">
              <w:rPr>
                <w:rFonts w:ascii="Times New Roman" w:hAnsi="Times New Roman" w:cs="Times New Roman"/>
                <w:lang w:val="en-GB"/>
              </w:rPr>
              <w:t xml:space="preserve">The evaluations must involve the intervention logic of the Programmes having regard to the evaluation criteria specified in p. 9 above and to the current situation on a level of the Programme’s objective, potential gaps in the Programmes and changed needs. The evaluations must cover the Programmes including specific actions, </w:t>
            </w:r>
            <w:r w:rsidR="00F57B8E" w:rsidRPr="009E74AA">
              <w:rPr>
                <w:rFonts w:ascii="Times New Roman" w:hAnsi="Times New Roman" w:cs="Times New Roman"/>
                <w:lang w:val="en-GB"/>
              </w:rPr>
              <w:t>thematic</w:t>
            </w:r>
            <w:r w:rsidRPr="009E74AA">
              <w:rPr>
                <w:rFonts w:ascii="Times New Roman" w:hAnsi="Times New Roman" w:cs="Times New Roman"/>
                <w:lang w:val="en-GB"/>
              </w:rPr>
              <w:t xml:space="preserve"> measures or other needs provided for </w:t>
            </w:r>
            <w:r w:rsidR="009E74AA" w:rsidRPr="009E74AA">
              <w:rPr>
                <w:rFonts w:ascii="Times New Roman" w:hAnsi="Times New Roman" w:cs="Times New Roman"/>
                <w:lang w:val="en-GB"/>
              </w:rPr>
              <w:t>therein</w:t>
            </w:r>
            <w:r w:rsidRPr="009E74AA">
              <w:rPr>
                <w:rFonts w:ascii="Times New Roman" w:hAnsi="Times New Roman" w:cs="Times New Roman"/>
                <w:lang w:val="en-GB"/>
              </w:rPr>
              <w:t xml:space="preserve">. Conclusions and recommendations made </w:t>
            </w:r>
            <w:proofErr w:type="gramStart"/>
            <w:r w:rsidRPr="009E74AA">
              <w:rPr>
                <w:rFonts w:ascii="Times New Roman" w:hAnsi="Times New Roman" w:cs="Times New Roman"/>
                <w:lang w:val="en-GB"/>
              </w:rPr>
              <w:t>as a result</w:t>
            </w:r>
            <w:proofErr w:type="gramEnd"/>
            <w:r w:rsidRPr="009E74AA">
              <w:rPr>
                <w:rFonts w:ascii="Times New Roman" w:hAnsi="Times New Roman" w:cs="Times New Roman"/>
                <w:lang w:val="en-GB"/>
              </w:rPr>
              <w:t xml:space="preserve"> of the evaluation must be based on evidence that has </w:t>
            </w:r>
            <w:r w:rsidR="00AB4063" w:rsidRPr="009E74AA">
              <w:rPr>
                <w:rFonts w:ascii="Times New Roman" w:hAnsi="Times New Roman" w:cs="Times New Roman"/>
                <w:lang w:val="en-GB"/>
              </w:rPr>
              <w:t>been critically assessed.</w:t>
            </w:r>
          </w:p>
          <w:p w14:paraId="2FB2F990" w14:textId="109125DA" w:rsidR="001278D2" w:rsidRPr="009E74AA" w:rsidRDefault="00AB4063" w:rsidP="001278D2">
            <w:pPr>
              <w:jc w:val="both"/>
              <w:rPr>
                <w:rFonts w:ascii="Times New Roman" w:hAnsi="Times New Roman" w:cs="Times New Roman"/>
                <w:lang w:val="en-GB"/>
              </w:rPr>
            </w:pPr>
            <w:r w:rsidRPr="009E74AA">
              <w:rPr>
                <w:rFonts w:ascii="Times New Roman" w:hAnsi="Times New Roman" w:cs="Times New Roman"/>
                <w:lang w:val="en-GB"/>
              </w:rPr>
              <w:t>The mid-term evaluation must involve</w:t>
            </w:r>
            <w:r w:rsidR="001278D2" w:rsidRPr="009E74AA">
              <w:rPr>
                <w:rFonts w:ascii="Times New Roman" w:hAnsi="Times New Roman" w:cs="Times New Roman"/>
                <w:lang w:val="en-GB"/>
              </w:rPr>
              <w:t>:</w:t>
            </w:r>
          </w:p>
          <w:p w14:paraId="601B08A1" w14:textId="54EE59F1" w:rsidR="00441AFD" w:rsidRPr="009E74AA" w:rsidRDefault="00441AFD" w:rsidP="001278D2">
            <w:pPr>
              <w:jc w:val="both"/>
              <w:rPr>
                <w:rFonts w:ascii="Times New Roman" w:hAnsi="Times New Roman" w:cs="Times New Roman"/>
                <w:lang w:val="en-GB"/>
              </w:rPr>
            </w:pPr>
            <w:r w:rsidRPr="009E74AA">
              <w:rPr>
                <w:rFonts w:ascii="Times New Roman" w:hAnsi="Times New Roman" w:cs="Times New Roman"/>
                <w:lang w:val="en-GB"/>
              </w:rPr>
              <w:t xml:space="preserve">- evaluation of progress made in the achievement of </w:t>
            </w:r>
            <w:r w:rsidR="009E74AA" w:rsidRPr="009E74AA">
              <w:rPr>
                <w:rFonts w:ascii="Times New Roman" w:hAnsi="Times New Roman" w:cs="Times New Roman"/>
                <w:lang w:val="en-GB"/>
              </w:rPr>
              <w:t>the</w:t>
            </w:r>
            <w:r w:rsidRPr="009E74AA">
              <w:rPr>
                <w:rFonts w:ascii="Times New Roman" w:hAnsi="Times New Roman" w:cs="Times New Roman"/>
                <w:lang w:val="en-GB"/>
              </w:rPr>
              <w:t xml:space="preserve"> Programmes’ objectives using the resources planned therefor, having regard to the moment of approval of the Programmes’ and the actual commencement thereof;</w:t>
            </w:r>
          </w:p>
          <w:p w14:paraId="6C68DD31" w14:textId="0A9F63E6" w:rsidR="00441AFD" w:rsidRPr="009E74AA" w:rsidRDefault="00441AFD" w:rsidP="001278D2">
            <w:pPr>
              <w:jc w:val="both"/>
              <w:rPr>
                <w:rFonts w:ascii="Times New Roman" w:hAnsi="Times New Roman" w:cs="Times New Roman"/>
                <w:lang w:val="en-GB"/>
              </w:rPr>
            </w:pPr>
            <w:r w:rsidRPr="009E74AA">
              <w:rPr>
                <w:rFonts w:ascii="Times New Roman" w:hAnsi="Times New Roman" w:cs="Times New Roman"/>
                <w:lang w:val="en-GB"/>
              </w:rPr>
              <w:t>- compatibility with other financing sources and programmes;</w:t>
            </w:r>
          </w:p>
          <w:p w14:paraId="5DEAC643" w14:textId="087FD9A7" w:rsidR="00441AFD" w:rsidRPr="009E74AA" w:rsidRDefault="00441AFD" w:rsidP="001278D2">
            <w:pPr>
              <w:jc w:val="both"/>
              <w:rPr>
                <w:rFonts w:ascii="Times New Roman" w:hAnsi="Times New Roman" w:cs="Times New Roman"/>
                <w:lang w:val="en-GB"/>
              </w:rPr>
            </w:pPr>
            <w:r w:rsidRPr="009E74AA">
              <w:rPr>
                <w:rFonts w:ascii="Times New Roman" w:hAnsi="Times New Roman" w:cs="Times New Roman"/>
                <w:lang w:val="en-GB"/>
              </w:rPr>
              <w:t xml:space="preserve">- identification of </w:t>
            </w:r>
            <w:r w:rsidR="00FF7E52">
              <w:rPr>
                <w:rFonts w:ascii="Times New Roman" w:hAnsi="Times New Roman" w:cs="Times New Roman"/>
                <w:lang w:val="en-GB"/>
              </w:rPr>
              <w:t>factors</w:t>
            </w:r>
            <w:r w:rsidR="00FF7E52" w:rsidRPr="009E74AA">
              <w:rPr>
                <w:rFonts w:ascii="Times New Roman" w:hAnsi="Times New Roman" w:cs="Times New Roman"/>
                <w:lang w:val="en-GB"/>
              </w:rPr>
              <w:t xml:space="preserve"> </w:t>
            </w:r>
            <w:r w:rsidRPr="009E74AA">
              <w:rPr>
                <w:rFonts w:ascii="Times New Roman" w:hAnsi="Times New Roman" w:cs="Times New Roman"/>
                <w:lang w:val="en-GB"/>
              </w:rPr>
              <w:t>that influence achievement of the objectives and measures planned under the Programmes, and, where necessary, proposing new/additional measures and making recommendations and/or adjustments of the Programme. Recommendations must be clear and realistic, indicating a specific target and actions recommended for him;</w:t>
            </w:r>
          </w:p>
          <w:p w14:paraId="0CA6204A" w14:textId="38B81011" w:rsidR="00441AFD" w:rsidRPr="009E74AA" w:rsidRDefault="00441AFD" w:rsidP="001278D2">
            <w:pPr>
              <w:jc w:val="both"/>
              <w:rPr>
                <w:rFonts w:ascii="Times New Roman" w:hAnsi="Times New Roman" w:cs="Times New Roman"/>
                <w:lang w:val="en-GB"/>
              </w:rPr>
            </w:pPr>
            <w:r w:rsidRPr="009E74AA">
              <w:rPr>
                <w:rFonts w:ascii="Times New Roman" w:hAnsi="Times New Roman" w:cs="Times New Roman"/>
                <w:lang w:val="en-GB"/>
              </w:rPr>
              <w:t>-</w:t>
            </w:r>
            <w:r w:rsidR="006434D3" w:rsidRPr="009E74AA">
              <w:rPr>
                <w:rFonts w:ascii="Times New Roman" w:hAnsi="Times New Roman" w:cs="Times New Roman"/>
                <w:lang w:val="en-GB"/>
              </w:rPr>
              <w:t xml:space="preserve"> evaluation of the Programmes’ and projects’ management procedures in place, in particular, the procedure for monitoring indicators of the Programme. The evaluation of such procedures should take account of the impact of national legal acts on the  governing strategic management (e. g. the Strategic Management Methodology) on the management of the Programmes’ and projects;</w:t>
            </w:r>
          </w:p>
          <w:p w14:paraId="14A839E5" w14:textId="5A46C9ED" w:rsidR="006434D3" w:rsidRPr="009E74AA" w:rsidRDefault="006434D3" w:rsidP="001278D2">
            <w:pPr>
              <w:jc w:val="both"/>
              <w:rPr>
                <w:rFonts w:ascii="Times New Roman" w:hAnsi="Times New Roman" w:cs="Times New Roman"/>
                <w:lang w:val="en-GB"/>
              </w:rPr>
            </w:pPr>
            <w:r w:rsidRPr="009E74AA">
              <w:rPr>
                <w:rFonts w:ascii="Times New Roman" w:hAnsi="Times New Roman" w:cs="Times New Roman"/>
                <w:lang w:val="en-GB"/>
              </w:rPr>
              <w:t>- evaluation of other aspects important for the Programme‘s management and implementation.</w:t>
            </w:r>
          </w:p>
          <w:p w14:paraId="727B2FD0" w14:textId="77777777" w:rsidR="006434D3" w:rsidRPr="009E74AA" w:rsidRDefault="006434D3" w:rsidP="001278D2">
            <w:pPr>
              <w:jc w:val="both"/>
              <w:rPr>
                <w:rFonts w:ascii="Times New Roman" w:hAnsi="Times New Roman" w:cs="Times New Roman"/>
                <w:lang w:val="en-GB"/>
              </w:rPr>
            </w:pPr>
            <w:r w:rsidRPr="009E74AA">
              <w:rPr>
                <w:rFonts w:ascii="Times New Roman" w:hAnsi="Times New Roman" w:cs="Times New Roman"/>
                <w:lang w:val="en-GB"/>
              </w:rPr>
              <w:t xml:space="preserve">The final evaluation should involve the impact of the Programmes’ implementation and other aspects that are relevant considering the implementation phase and the results achieved. </w:t>
            </w:r>
          </w:p>
          <w:p w14:paraId="504C4D36" w14:textId="0D922538" w:rsidR="006434D3" w:rsidRPr="009E74AA" w:rsidRDefault="006434D3" w:rsidP="001278D2">
            <w:pPr>
              <w:jc w:val="both"/>
              <w:rPr>
                <w:rFonts w:ascii="Times New Roman" w:hAnsi="Times New Roman" w:cs="Times New Roman"/>
                <w:lang w:val="en-GB"/>
              </w:rPr>
            </w:pPr>
            <w:r w:rsidRPr="009E74AA">
              <w:rPr>
                <w:rFonts w:ascii="Times New Roman" w:hAnsi="Times New Roman" w:cs="Times New Roman"/>
                <w:lang w:val="en-GB"/>
              </w:rPr>
              <w:t>Preliminary evaluation questions are provided in an annex to this evaluation plan.</w:t>
            </w:r>
          </w:p>
        </w:tc>
      </w:tr>
      <w:tr w:rsidR="001278D2" w:rsidRPr="009E74AA" w14:paraId="674205DF" w14:textId="77777777" w:rsidTr="007701D5">
        <w:tc>
          <w:tcPr>
            <w:tcW w:w="3114" w:type="dxa"/>
            <w:shd w:val="clear" w:color="auto" w:fill="F2F2F2" w:themeFill="background1" w:themeFillShade="F2"/>
          </w:tcPr>
          <w:p w14:paraId="644F38FF" w14:textId="6AAAFCD9" w:rsidR="001278D2" w:rsidRPr="009E74AA" w:rsidRDefault="00FE3204" w:rsidP="001278D2">
            <w:pPr>
              <w:pStyle w:val="ListParagraph"/>
              <w:numPr>
                <w:ilvl w:val="0"/>
                <w:numId w:val="1"/>
              </w:numPr>
              <w:ind w:left="318"/>
              <w:rPr>
                <w:rFonts w:ascii="Times New Roman" w:hAnsi="Times New Roman" w:cs="Times New Roman"/>
                <w:color w:val="FF0000"/>
                <w:lang w:val="en-GB"/>
              </w:rPr>
            </w:pPr>
            <w:r w:rsidRPr="009E74AA">
              <w:rPr>
                <w:rFonts w:ascii="Times New Roman" w:hAnsi="Times New Roman" w:cs="Times New Roman"/>
                <w:lang w:val="en-GB"/>
              </w:rPr>
              <w:t xml:space="preserve">Evaluation methods and data requirements </w:t>
            </w:r>
            <w:r w:rsidR="001278D2" w:rsidRPr="009E74AA">
              <w:rPr>
                <w:rFonts w:ascii="Times New Roman" w:hAnsi="Times New Roman" w:cs="Times New Roman"/>
                <w:lang w:val="en-GB"/>
              </w:rPr>
              <w:t xml:space="preserve"> </w:t>
            </w:r>
          </w:p>
        </w:tc>
        <w:tc>
          <w:tcPr>
            <w:tcW w:w="11340" w:type="dxa"/>
          </w:tcPr>
          <w:p w14:paraId="5363EC5D" w14:textId="7F005EFE" w:rsidR="006434D3" w:rsidRPr="009E74AA" w:rsidRDefault="006434D3" w:rsidP="00D77495">
            <w:pPr>
              <w:jc w:val="both"/>
              <w:rPr>
                <w:rFonts w:ascii="Times New Roman" w:hAnsi="Times New Roman" w:cs="Times New Roman"/>
                <w:lang w:val="en-GB"/>
              </w:rPr>
            </w:pPr>
            <w:r w:rsidRPr="009E74AA">
              <w:rPr>
                <w:rFonts w:ascii="Times New Roman" w:hAnsi="Times New Roman" w:cs="Times New Roman"/>
                <w:lang w:val="en-GB"/>
              </w:rPr>
              <w:t>Appropriate evaluation metho</w:t>
            </w:r>
            <w:r w:rsidR="002F3F35" w:rsidRPr="009E74AA">
              <w:rPr>
                <w:rFonts w:ascii="Times New Roman" w:hAnsi="Times New Roman" w:cs="Times New Roman"/>
                <w:lang w:val="en-GB"/>
              </w:rPr>
              <w:t>d</w:t>
            </w:r>
            <w:r w:rsidRPr="009E74AA">
              <w:rPr>
                <w:rFonts w:ascii="Times New Roman" w:hAnsi="Times New Roman" w:cs="Times New Roman"/>
                <w:lang w:val="en-GB"/>
              </w:rPr>
              <w:t>s and reliable data must be used during the evaluations.</w:t>
            </w:r>
          </w:p>
          <w:p w14:paraId="2365DE90" w14:textId="0B090C92" w:rsidR="00C4796B" w:rsidRPr="009E74AA" w:rsidRDefault="00C4796B" w:rsidP="00D77495">
            <w:pPr>
              <w:jc w:val="both"/>
              <w:rPr>
                <w:rFonts w:ascii="Times New Roman" w:hAnsi="Times New Roman" w:cs="Times New Roman"/>
                <w:lang w:val="en-GB"/>
              </w:rPr>
            </w:pPr>
            <w:r w:rsidRPr="009E74AA">
              <w:rPr>
                <w:rFonts w:ascii="Times New Roman" w:hAnsi="Times New Roman" w:cs="Times New Roman"/>
                <w:lang w:val="en-GB"/>
              </w:rPr>
              <w:t xml:space="preserve">The evaluations may employ such methods as reconstruction of the Programme’s intervention logic, evaluation matrix, needs assessment, formulation of stakeholder map and consultation strategy, analysis of financial and implementation progress of the </w:t>
            </w:r>
            <w:r w:rsidRPr="009E74AA">
              <w:rPr>
                <w:rFonts w:ascii="Times New Roman" w:hAnsi="Times New Roman" w:cs="Times New Roman"/>
                <w:lang w:val="en-GB"/>
              </w:rPr>
              <w:lastRenderedPageBreak/>
              <w:t>Programmes, analysis of other data/documents, interviews, modelling, summarisation</w:t>
            </w:r>
            <w:r w:rsidR="00FF7E52">
              <w:rPr>
                <w:rFonts w:ascii="Times New Roman" w:hAnsi="Times New Roman" w:cs="Times New Roman"/>
                <w:lang w:val="en-GB"/>
              </w:rPr>
              <w:t>,</w:t>
            </w:r>
            <w:r w:rsidRPr="009E74AA">
              <w:rPr>
                <w:rFonts w:ascii="Times New Roman" w:hAnsi="Times New Roman" w:cs="Times New Roman"/>
                <w:lang w:val="en-GB"/>
              </w:rPr>
              <w:t xml:space="preserve"> etc. Specific methods relevant to the evaluation will be offered by the evaluator during the procurement procedure.</w:t>
            </w:r>
          </w:p>
          <w:p w14:paraId="4AC79F95" w14:textId="7CC21ABF" w:rsidR="002F3F35" w:rsidRPr="009E74AA" w:rsidRDefault="00C4796B" w:rsidP="00D77495">
            <w:pPr>
              <w:jc w:val="both"/>
              <w:rPr>
                <w:rFonts w:ascii="Times New Roman" w:hAnsi="Times New Roman" w:cs="Times New Roman"/>
                <w:lang w:val="en-GB"/>
              </w:rPr>
            </w:pPr>
            <w:r w:rsidRPr="009E74AA">
              <w:rPr>
                <w:rFonts w:ascii="Times New Roman" w:hAnsi="Times New Roman" w:cs="Times New Roman"/>
                <w:lang w:val="en-GB"/>
              </w:rPr>
              <w:t>Data for the evaluation will be</w:t>
            </w:r>
            <w:r w:rsidR="0097450C" w:rsidRPr="009E74AA">
              <w:rPr>
                <w:rFonts w:ascii="Times New Roman" w:hAnsi="Times New Roman" w:cs="Times New Roman"/>
                <w:lang w:val="en-GB"/>
              </w:rPr>
              <w:t xml:space="preserve"> collected from the project implementation documents submitted by the</w:t>
            </w:r>
            <w:r w:rsidR="005C7955">
              <w:rPr>
                <w:rFonts w:ascii="Times New Roman" w:hAnsi="Times New Roman" w:cs="Times New Roman"/>
                <w:lang w:val="en-GB"/>
              </w:rPr>
              <w:t xml:space="preserve"> final beneficiaries</w:t>
            </w:r>
            <w:r w:rsidR="0097450C" w:rsidRPr="009E74AA">
              <w:rPr>
                <w:rFonts w:ascii="Times New Roman" w:hAnsi="Times New Roman" w:cs="Times New Roman"/>
                <w:lang w:val="en-GB"/>
              </w:rPr>
              <w:t>, reports submitted by the Inter</w:t>
            </w:r>
            <w:r w:rsidR="00F13CAE" w:rsidRPr="009E74AA">
              <w:rPr>
                <w:rFonts w:ascii="Times New Roman" w:hAnsi="Times New Roman" w:cs="Times New Roman"/>
                <w:lang w:val="en-GB"/>
              </w:rPr>
              <w:t>mediate</w:t>
            </w:r>
            <w:r w:rsidR="0097450C" w:rsidRPr="009E74AA">
              <w:rPr>
                <w:rFonts w:ascii="Times New Roman" w:hAnsi="Times New Roman" w:cs="Times New Roman"/>
                <w:lang w:val="en-GB"/>
              </w:rPr>
              <w:t xml:space="preserve"> Body to the Managing Authority, reports submitted by the Managing Authority to the European Commission, documents on audits conducted by the Audit Authority, documentation of the Monitoring Committee, data from the electronic data </w:t>
            </w:r>
            <w:r w:rsidR="005C7955">
              <w:rPr>
                <w:rFonts w:ascii="Times New Roman" w:hAnsi="Times New Roman" w:cs="Times New Roman"/>
                <w:lang w:val="en-GB"/>
              </w:rPr>
              <w:t>ex</w:t>
            </w:r>
            <w:r w:rsidR="0097450C" w:rsidRPr="009E74AA">
              <w:rPr>
                <w:rFonts w:ascii="Times New Roman" w:hAnsi="Times New Roman" w:cs="Times New Roman"/>
                <w:lang w:val="en-GB"/>
              </w:rPr>
              <w:t>change system (</w:t>
            </w:r>
            <w:r w:rsidR="005C7955" w:rsidRPr="005C7955">
              <w:rPr>
                <w:rFonts w:ascii="Times New Roman" w:hAnsi="Times New Roman" w:cs="Times New Roman"/>
                <w:i/>
                <w:iCs/>
              </w:rPr>
              <w:t>ISFBMVI</w:t>
            </w:r>
            <w:r w:rsidR="0097450C" w:rsidRPr="009E74AA">
              <w:rPr>
                <w:rFonts w:ascii="Times New Roman" w:hAnsi="Times New Roman" w:cs="Times New Roman"/>
                <w:i/>
                <w:iCs/>
                <w:lang w:val="en-GB"/>
              </w:rPr>
              <w:t xml:space="preserve"> IS</w:t>
            </w:r>
            <w:r w:rsidR="0097450C" w:rsidRPr="009E74AA">
              <w:rPr>
                <w:rFonts w:ascii="Times New Roman" w:hAnsi="Times New Roman" w:cs="Times New Roman"/>
                <w:lang w:val="en-GB"/>
              </w:rPr>
              <w:t>), European Union‘s and national legal acts, websites of the Managing Authority and the Inter</w:t>
            </w:r>
            <w:r w:rsidR="00F13CAE" w:rsidRPr="009E74AA">
              <w:rPr>
                <w:rFonts w:ascii="Times New Roman" w:hAnsi="Times New Roman" w:cs="Times New Roman"/>
                <w:lang w:val="en-GB"/>
              </w:rPr>
              <w:t>mediate</w:t>
            </w:r>
            <w:r w:rsidR="0097450C" w:rsidRPr="009E74AA">
              <w:rPr>
                <w:rFonts w:ascii="Times New Roman" w:hAnsi="Times New Roman" w:cs="Times New Roman"/>
                <w:lang w:val="en-GB"/>
              </w:rPr>
              <w:t xml:space="preserve"> Body, statistical data sources</w:t>
            </w:r>
            <w:r w:rsidR="005C7955">
              <w:rPr>
                <w:rFonts w:ascii="Times New Roman" w:hAnsi="Times New Roman" w:cs="Times New Roman"/>
                <w:lang w:val="en-GB"/>
              </w:rPr>
              <w:t>,</w:t>
            </w:r>
            <w:r w:rsidR="0097450C" w:rsidRPr="009E74AA">
              <w:rPr>
                <w:rFonts w:ascii="Times New Roman" w:hAnsi="Times New Roman" w:cs="Times New Roman"/>
                <w:lang w:val="en-GB"/>
              </w:rPr>
              <w:t xml:space="preserve"> etc</w:t>
            </w:r>
            <w:r w:rsidR="005C7955">
              <w:rPr>
                <w:rFonts w:ascii="Times New Roman" w:hAnsi="Times New Roman" w:cs="Times New Roman"/>
                <w:lang w:val="en-GB"/>
              </w:rPr>
              <w:t>.</w:t>
            </w:r>
          </w:p>
        </w:tc>
      </w:tr>
      <w:tr w:rsidR="001278D2" w:rsidRPr="009E74AA" w14:paraId="2DCAEF4C" w14:textId="77777777" w:rsidTr="007701D5">
        <w:tc>
          <w:tcPr>
            <w:tcW w:w="3114" w:type="dxa"/>
            <w:shd w:val="clear" w:color="auto" w:fill="F2F2F2" w:themeFill="background1" w:themeFillShade="F2"/>
          </w:tcPr>
          <w:p w14:paraId="0968891F" w14:textId="7F9F767C" w:rsidR="001278D2" w:rsidRPr="009E74AA" w:rsidRDefault="006434D3" w:rsidP="004D43DD">
            <w:pPr>
              <w:pStyle w:val="ListParagraph"/>
              <w:numPr>
                <w:ilvl w:val="0"/>
                <w:numId w:val="1"/>
              </w:numPr>
              <w:ind w:left="318"/>
              <w:rPr>
                <w:rFonts w:ascii="Times New Roman" w:hAnsi="Times New Roman" w:cs="Times New Roman"/>
                <w:lang w:val="en-GB"/>
              </w:rPr>
            </w:pPr>
            <w:r w:rsidRPr="009E74AA">
              <w:rPr>
                <w:rFonts w:ascii="Times New Roman" w:hAnsi="Times New Roman" w:cs="Times New Roman"/>
                <w:lang w:val="en-GB"/>
              </w:rPr>
              <w:lastRenderedPageBreak/>
              <w:t xml:space="preserve">Publication of evaluation reports </w:t>
            </w:r>
          </w:p>
        </w:tc>
        <w:tc>
          <w:tcPr>
            <w:tcW w:w="11340" w:type="dxa"/>
          </w:tcPr>
          <w:p w14:paraId="49827B8F" w14:textId="6FE6699B" w:rsidR="001278D2" w:rsidRPr="009E74AA" w:rsidRDefault="0097450C" w:rsidP="000546B3">
            <w:pPr>
              <w:jc w:val="both"/>
              <w:rPr>
                <w:rFonts w:ascii="Times New Roman" w:hAnsi="Times New Roman" w:cs="Times New Roman"/>
                <w:lang w:val="en-GB"/>
              </w:rPr>
            </w:pPr>
            <w:r w:rsidRPr="009E74AA">
              <w:rPr>
                <w:rFonts w:ascii="Times New Roman" w:hAnsi="Times New Roman" w:cs="Times New Roman"/>
                <w:lang w:val="en-GB"/>
              </w:rPr>
              <w:t xml:space="preserve">Completed evaluation reports will be published on the website of the Managing Authority </w:t>
            </w:r>
            <w:hyperlink r:id="rId9" w:history="1">
              <w:r w:rsidR="001278D2" w:rsidRPr="009E74AA">
                <w:rPr>
                  <w:rStyle w:val="Hyperlink"/>
                  <w:rFonts w:ascii="Times New Roman" w:hAnsi="Times New Roman" w:cs="Times New Roman"/>
                  <w:lang w:val="en-GB"/>
                </w:rPr>
                <w:t>www.isf.lt</w:t>
              </w:r>
            </w:hyperlink>
            <w:r w:rsidR="001278D2" w:rsidRPr="009E74AA">
              <w:rPr>
                <w:rFonts w:ascii="Times New Roman" w:hAnsi="Times New Roman" w:cs="Times New Roman"/>
                <w:lang w:val="en-GB"/>
              </w:rPr>
              <w:t xml:space="preserve"> </w:t>
            </w:r>
            <w:r w:rsidRPr="009E74AA">
              <w:rPr>
                <w:rFonts w:ascii="Times New Roman" w:hAnsi="Times New Roman" w:cs="Times New Roman"/>
                <w:lang w:val="en-GB"/>
              </w:rPr>
              <w:t>and on</w:t>
            </w:r>
            <w:r w:rsidR="001278D2" w:rsidRPr="009E74AA">
              <w:rPr>
                <w:rFonts w:ascii="Times New Roman" w:hAnsi="Times New Roman" w:cs="Times New Roman"/>
                <w:lang w:val="en-GB"/>
              </w:rPr>
              <w:t xml:space="preserve"> </w:t>
            </w:r>
            <w:hyperlink r:id="rId10" w:history="1">
              <w:r w:rsidR="00FB22A0" w:rsidRPr="009E74AA">
                <w:rPr>
                  <w:rStyle w:val="Hyperlink"/>
                  <w:rFonts w:ascii="Times New Roman" w:hAnsi="Times New Roman" w:cs="Times New Roman"/>
                  <w:lang w:val="en-GB"/>
                </w:rPr>
                <w:t>https://www.vsfsvvp.lt</w:t>
              </w:r>
            </w:hyperlink>
            <w:r w:rsidR="001278D2" w:rsidRPr="009E74AA">
              <w:rPr>
                <w:rFonts w:ascii="Times New Roman" w:hAnsi="Times New Roman" w:cs="Times New Roman"/>
                <w:lang w:val="en-GB"/>
              </w:rPr>
              <w:t xml:space="preserve">, </w:t>
            </w:r>
            <w:r w:rsidR="000546B3" w:rsidRPr="009E74AA">
              <w:rPr>
                <w:rFonts w:ascii="Times New Roman" w:hAnsi="Times New Roman" w:cs="Times New Roman"/>
                <w:lang w:val="en-GB"/>
              </w:rPr>
              <w:t xml:space="preserve">as stated in Article 44(7) of the Regulation. The evaluation reports will also be presented to the BMVI and ISF Monitoring Committee in accordance with Article </w:t>
            </w:r>
            <w:r w:rsidR="001278D2" w:rsidRPr="009E74AA">
              <w:rPr>
                <w:rFonts w:ascii="Times New Roman" w:hAnsi="Times New Roman" w:cs="Times New Roman"/>
                <w:lang w:val="en-GB"/>
              </w:rPr>
              <w:t>40</w:t>
            </w:r>
            <w:r w:rsidR="000546B3" w:rsidRPr="009E74AA">
              <w:rPr>
                <w:rFonts w:ascii="Times New Roman" w:hAnsi="Times New Roman" w:cs="Times New Roman"/>
                <w:lang w:val="en-GB"/>
              </w:rPr>
              <w:t>(1</w:t>
            </w:r>
            <w:proofErr w:type="gramStart"/>
            <w:r w:rsidR="000546B3" w:rsidRPr="009E74AA">
              <w:rPr>
                <w:rFonts w:ascii="Times New Roman" w:hAnsi="Times New Roman" w:cs="Times New Roman"/>
                <w:lang w:val="en-GB"/>
              </w:rPr>
              <w:t>)</w:t>
            </w:r>
            <w:r w:rsidR="001278D2" w:rsidRPr="009E74AA">
              <w:rPr>
                <w:rFonts w:ascii="Times New Roman" w:hAnsi="Times New Roman" w:cs="Times New Roman"/>
                <w:lang w:val="en-GB"/>
              </w:rPr>
              <w:t>(</w:t>
            </w:r>
            <w:proofErr w:type="gramEnd"/>
            <w:r w:rsidR="001278D2" w:rsidRPr="009E74AA">
              <w:rPr>
                <w:rFonts w:ascii="Times New Roman" w:hAnsi="Times New Roman" w:cs="Times New Roman"/>
                <w:lang w:val="en-GB"/>
              </w:rPr>
              <w:t xml:space="preserve">e) </w:t>
            </w:r>
            <w:r w:rsidR="000546B3" w:rsidRPr="009E74AA">
              <w:rPr>
                <w:rFonts w:ascii="Times New Roman" w:hAnsi="Times New Roman" w:cs="Times New Roman"/>
                <w:lang w:val="en-GB"/>
              </w:rPr>
              <w:t>of the Regulation</w:t>
            </w:r>
            <w:r w:rsidR="001278D2" w:rsidRPr="009E74AA">
              <w:rPr>
                <w:rFonts w:ascii="Times New Roman" w:hAnsi="Times New Roman" w:cs="Times New Roman"/>
                <w:lang w:val="en-GB"/>
              </w:rPr>
              <w:t>.</w:t>
            </w:r>
          </w:p>
        </w:tc>
      </w:tr>
    </w:tbl>
    <w:p w14:paraId="43BEEEB6" w14:textId="77777777" w:rsidR="0001519F" w:rsidRPr="009E74AA" w:rsidRDefault="0001519F" w:rsidP="00C951F1">
      <w:pPr>
        <w:spacing w:after="0"/>
        <w:rPr>
          <w:rFonts w:ascii="Times New Roman" w:hAnsi="Times New Roman" w:cs="Times New Roman"/>
          <w:lang w:val="en-GB"/>
        </w:rPr>
      </w:pPr>
    </w:p>
    <w:p w14:paraId="0ED8A35F" w14:textId="77777777" w:rsidR="002F48CD" w:rsidRPr="009E74AA" w:rsidRDefault="002F48CD" w:rsidP="008641E2">
      <w:pPr>
        <w:spacing w:after="0"/>
        <w:rPr>
          <w:rFonts w:ascii="Times New Roman" w:hAnsi="Times New Roman" w:cs="Times New Roman"/>
          <w:lang w:val="en-GB"/>
        </w:rPr>
      </w:pPr>
    </w:p>
    <w:p w14:paraId="32076FBE" w14:textId="77777777" w:rsidR="002430E0" w:rsidRDefault="002430E0" w:rsidP="002F48CD">
      <w:pPr>
        <w:spacing w:after="0"/>
        <w:jc w:val="right"/>
        <w:rPr>
          <w:rFonts w:ascii="Times New Roman" w:hAnsi="Times New Roman" w:cs="Times New Roman"/>
          <w:sz w:val="20"/>
          <w:szCs w:val="20"/>
          <w:lang w:val="en-GB"/>
        </w:rPr>
      </w:pPr>
    </w:p>
    <w:p w14:paraId="2F1D985E" w14:textId="77777777" w:rsidR="002430E0" w:rsidRDefault="002430E0" w:rsidP="002F48CD">
      <w:pPr>
        <w:spacing w:after="0"/>
        <w:jc w:val="right"/>
        <w:rPr>
          <w:rFonts w:ascii="Times New Roman" w:hAnsi="Times New Roman" w:cs="Times New Roman"/>
          <w:sz w:val="20"/>
          <w:szCs w:val="20"/>
          <w:lang w:val="en-GB"/>
        </w:rPr>
      </w:pPr>
    </w:p>
    <w:p w14:paraId="2FA56C38" w14:textId="77777777" w:rsidR="002430E0" w:rsidRDefault="002430E0" w:rsidP="002F48CD">
      <w:pPr>
        <w:spacing w:after="0"/>
        <w:jc w:val="right"/>
        <w:rPr>
          <w:rFonts w:ascii="Times New Roman" w:hAnsi="Times New Roman" w:cs="Times New Roman"/>
          <w:sz w:val="20"/>
          <w:szCs w:val="20"/>
          <w:lang w:val="en-GB"/>
        </w:rPr>
      </w:pPr>
    </w:p>
    <w:p w14:paraId="324A808A" w14:textId="77777777" w:rsidR="002430E0" w:rsidRDefault="002430E0" w:rsidP="002F48CD">
      <w:pPr>
        <w:spacing w:after="0"/>
        <w:jc w:val="right"/>
        <w:rPr>
          <w:rFonts w:ascii="Times New Roman" w:hAnsi="Times New Roman" w:cs="Times New Roman"/>
          <w:sz w:val="20"/>
          <w:szCs w:val="20"/>
          <w:lang w:val="en-GB"/>
        </w:rPr>
      </w:pPr>
    </w:p>
    <w:p w14:paraId="69A89852" w14:textId="77777777" w:rsidR="002430E0" w:rsidRDefault="002430E0" w:rsidP="002F48CD">
      <w:pPr>
        <w:spacing w:after="0"/>
        <w:jc w:val="right"/>
        <w:rPr>
          <w:rFonts w:ascii="Times New Roman" w:hAnsi="Times New Roman" w:cs="Times New Roman"/>
          <w:sz w:val="20"/>
          <w:szCs w:val="20"/>
          <w:lang w:val="en-GB"/>
        </w:rPr>
      </w:pPr>
    </w:p>
    <w:p w14:paraId="090C47BE" w14:textId="77777777" w:rsidR="002430E0" w:rsidRDefault="002430E0" w:rsidP="002F48CD">
      <w:pPr>
        <w:spacing w:after="0"/>
        <w:jc w:val="right"/>
        <w:rPr>
          <w:rFonts w:ascii="Times New Roman" w:hAnsi="Times New Roman" w:cs="Times New Roman"/>
          <w:sz w:val="20"/>
          <w:szCs w:val="20"/>
          <w:lang w:val="en-GB"/>
        </w:rPr>
      </w:pPr>
    </w:p>
    <w:p w14:paraId="3B5AE7C6" w14:textId="77777777" w:rsidR="002430E0" w:rsidRDefault="002430E0" w:rsidP="002F48CD">
      <w:pPr>
        <w:spacing w:after="0"/>
        <w:jc w:val="right"/>
        <w:rPr>
          <w:rFonts w:ascii="Times New Roman" w:hAnsi="Times New Roman" w:cs="Times New Roman"/>
          <w:sz w:val="20"/>
          <w:szCs w:val="20"/>
          <w:lang w:val="en-GB"/>
        </w:rPr>
      </w:pPr>
    </w:p>
    <w:p w14:paraId="588D0F84" w14:textId="77777777" w:rsidR="002430E0" w:rsidRDefault="002430E0" w:rsidP="002F48CD">
      <w:pPr>
        <w:spacing w:after="0"/>
        <w:jc w:val="right"/>
        <w:rPr>
          <w:rFonts w:ascii="Times New Roman" w:hAnsi="Times New Roman" w:cs="Times New Roman"/>
          <w:sz w:val="20"/>
          <w:szCs w:val="20"/>
          <w:lang w:val="en-GB"/>
        </w:rPr>
      </w:pPr>
    </w:p>
    <w:p w14:paraId="28F64A79" w14:textId="77777777" w:rsidR="002430E0" w:rsidRDefault="002430E0" w:rsidP="002F48CD">
      <w:pPr>
        <w:spacing w:after="0"/>
        <w:jc w:val="right"/>
        <w:rPr>
          <w:rFonts w:ascii="Times New Roman" w:hAnsi="Times New Roman" w:cs="Times New Roman"/>
          <w:sz w:val="20"/>
          <w:szCs w:val="20"/>
          <w:lang w:val="en-GB"/>
        </w:rPr>
      </w:pPr>
    </w:p>
    <w:p w14:paraId="3FDC4D5F" w14:textId="77777777" w:rsidR="002430E0" w:rsidRDefault="002430E0" w:rsidP="002F48CD">
      <w:pPr>
        <w:spacing w:after="0"/>
        <w:jc w:val="right"/>
        <w:rPr>
          <w:rFonts w:ascii="Times New Roman" w:hAnsi="Times New Roman" w:cs="Times New Roman"/>
          <w:sz w:val="20"/>
          <w:szCs w:val="20"/>
          <w:lang w:val="en-GB"/>
        </w:rPr>
      </w:pPr>
    </w:p>
    <w:p w14:paraId="355CFD7D" w14:textId="77777777" w:rsidR="002430E0" w:rsidRDefault="002430E0" w:rsidP="002F48CD">
      <w:pPr>
        <w:spacing w:after="0"/>
        <w:jc w:val="right"/>
        <w:rPr>
          <w:rFonts w:ascii="Times New Roman" w:hAnsi="Times New Roman" w:cs="Times New Roman"/>
          <w:sz w:val="20"/>
          <w:szCs w:val="20"/>
          <w:lang w:val="en-GB"/>
        </w:rPr>
      </w:pPr>
    </w:p>
    <w:p w14:paraId="742049F1" w14:textId="77777777" w:rsidR="002430E0" w:rsidRDefault="002430E0" w:rsidP="002F48CD">
      <w:pPr>
        <w:spacing w:after="0"/>
        <w:jc w:val="right"/>
        <w:rPr>
          <w:rFonts w:ascii="Times New Roman" w:hAnsi="Times New Roman" w:cs="Times New Roman"/>
          <w:sz w:val="20"/>
          <w:szCs w:val="20"/>
          <w:lang w:val="en-GB"/>
        </w:rPr>
      </w:pPr>
    </w:p>
    <w:p w14:paraId="3C4C28CD" w14:textId="77777777" w:rsidR="002430E0" w:rsidRDefault="002430E0" w:rsidP="002F48CD">
      <w:pPr>
        <w:spacing w:after="0"/>
        <w:jc w:val="right"/>
        <w:rPr>
          <w:rFonts w:ascii="Times New Roman" w:hAnsi="Times New Roman" w:cs="Times New Roman"/>
          <w:sz w:val="20"/>
          <w:szCs w:val="20"/>
          <w:lang w:val="en-GB"/>
        </w:rPr>
      </w:pPr>
    </w:p>
    <w:p w14:paraId="59347485" w14:textId="77777777" w:rsidR="002430E0" w:rsidRDefault="002430E0" w:rsidP="002F48CD">
      <w:pPr>
        <w:spacing w:after="0"/>
        <w:jc w:val="right"/>
        <w:rPr>
          <w:rFonts w:ascii="Times New Roman" w:hAnsi="Times New Roman" w:cs="Times New Roman"/>
          <w:sz w:val="20"/>
          <w:szCs w:val="20"/>
          <w:lang w:val="en-GB"/>
        </w:rPr>
      </w:pPr>
    </w:p>
    <w:p w14:paraId="25EE5024" w14:textId="77777777" w:rsidR="002430E0" w:rsidRDefault="002430E0" w:rsidP="002F48CD">
      <w:pPr>
        <w:spacing w:after="0"/>
        <w:jc w:val="right"/>
        <w:rPr>
          <w:rFonts w:ascii="Times New Roman" w:hAnsi="Times New Roman" w:cs="Times New Roman"/>
          <w:sz w:val="20"/>
          <w:szCs w:val="20"/>
          <w:lang w:val="en-GB"/>
        </w:rPr>
      </w:pPr>
    </w:p>
    <w:p w14:paraId="0D571463" w14:textId="77777777" w:rsidR="002430E0" w:rsidRDefault="002430E0" w:rsidP="002F48CD">
      <w:pPr>
        <w:spacing w:after="0"/>
        <w:jc w:val="right"/>
        <w:rPr>
          <w:rFonts w:ascii="Times New Roman" w:hAnsi="Times New Roman" w:cs="Times New Roman"/>
          <w:sz w:val="20"/>
          <w:szCs w:val="20"/>
          <w:lang w:val="en-GB"/>
        </w:rPr>
      </w:pPr>
    </w:p>
    <w:p w14:paraId="37F0ACBC" w14:textId="77777777" w:rsidR="002430E0" w:rsidRDefault="002430E0" w:rsidP="002F48CD">
      <w:pPr>
        <w:spacing w:after="0"/>
        <w:jc w:val="right"/>
        <w:rPr>
          <w:rFonts w:ascii="Times New Roman" w:hAnsi="Times New Roman" w:cs="Times New Roman"/>
          <w:sz w:val="20"/>
          <w:szCs w:val="20"/>
          <w:lang w:val="en-GB"/>
        </w:rPr>
      </w:pPr>
    </w:p>
    <w:p w14:paraId="7D8B78FF" w14:textId="77777777" w:rsidR="002430E0" w:rsidRDefault="002430E0" w:rsidP="002F48CD">
      <w:pPr>
        <w:spacing w:after="0"/>
        <w:jc w:val="right"/>
        <w:rPr>
          <w:rFonts w:ascii="Times New Roman" w:hAnsi="Times New Roman" w:cs="Times New Roman"/>
          <w:sz w:val="20"/>
          <w:szCs w:val="20"/>
          <w:lang w:val="en-GB"/>
        </w:rPr>
      </w:pPr>
    </w:p>
    <w:p w14:paraId="299FB75F" w14:textId="77777777" w:rsidR="002430E0" w:rsidRDefault="002430E0" w:rsidP="002F48CD">
      <w:pPr>
        <w:spacing w:after="0"/>
        <w:jc w:val="right"/>
        <w:rPr>
          <w:rFonts w:ascii="Times New Roman" w:hAnsi="Times New Roman" w:cs="Times New Roman"/>
          <w:sz w:val="20"/>
          <w:szCs w:val="20"/>
          <w:lang w:val="en-GB"/>
        </w:rPr>
      </w:pPr>
    </w:p>
    <w:p w14:paraId="1ABF9AFB" w14:textId="77777777" w:rsidR="002430E0" w:rsidRDefault="002430E0" w:rsidP="002F48CD">
      <w:pPr>
        <w:spacing w:after="0"/>
        <w:jc w:val="right"/>
        <w:rPr>
          <w:rFonts w:ascii="Times New Roman" w:hAnsi="Times New Roman" w:cs="Times New Roman"/>
          <w:sz w:val="20"/>
          <w:szCs w:val="20"/>
          <w:lang w:val="en-GB"/>
        </w:rPr>
      </w:pPr>
    </w:p>
    <w:p w14:paraId="534632D6" w14:textId="77777777" w:rsidR="002430E0" w:rsidRDefault="002430E0" w:rsidP="002F48CD">
      <w:pPr>
        <w:spacing w:after="0"/>
        <w:jc w:val="right"/>
        <w:rPr>
          <w:rFonts w:ascii="Times New Roman" w:hAnsi="Times New Roman" w:cs="Times New Roman"/>
          <w:sz w:val="20"/>
          <w:szCs w:val="20"/>
          <w:lang w:val="en-GB"/>
        </w:rPr>
      </w:pPr>
    </w:p>
    <w:p w14:paraId="29CDB640" w14:textId="77777777" w:rsidR="002430E0" w:rsidRDefault="002430E0" w:rsidP="002F48CD">
      <w:pPr>
        <w:spacing w:after="0"/>
        <w:jc w:val="right"/>
        <w:rPr>
          <w:rFonts w:ascii="Times New Roman" w:hAnsi="Times New Roman" w:cs="Times New Roman"/>
          <w:sz w:val="20"/>
          <w:szCs w:val="20"/>
          <w:lang w:val="en-GB"/>
        </w:rPr>
      </w:pPr>
    </w:p>
    <w:p w14:paraId="3E7E2977" w14:textId="77777777" w:rsidR="002430E0" w:rsidRDefault="002430E0" w:rsidP="002F48CD">
      <w:pPr>
        <w:spacing w:after="0"/>
        <w:jc w:val="right"/>
        <w:rPr>
          <w:rFonts w:ascii="Times New Roman" w:hAnsi="Times New Roman" w:cs="Times New Roman"/>
          <w:sz w:val="20"/>
          <w:szCs w:val="20"/>
          <w:lang w:val="en-GB"/>
        </w:rPr>
      </w:pPr>
    </w:p>
    <w:p w14:paraId="4ED5CFF8" w14:textId="77777777" w:rsidR="002430E0" w:rsidRDefault="002430E0" w:rsidP="002F48CD">
      <w:pPr>
        <w:spacing w:after="0"/>
        <w:jc w:val="right"/>
        <w:rPr>
          <w:rFonts w:ascii="Times New Roman" w:hAnsi="Times New Roman" w:cs="Times New Roman"/>
          <w:sz w:val="20"/>
          <w:szCs w:val="20"/>
          <w:lang w:val="en-GB"/>
        </w:rPr>
      </w:pPr>
    </w:p>
    <w:p w14:paraId="1BFE63CA" w14:textId="77777777" w:rsidR="002430E0" w:rsidRDefault="002430E0" w:rsidP="002F48CD">
      <w:pPr>
        <w:spacing w:after="0"/>
        <w:jc w:val="right"/>
        <w:rPr>
          <w:rFonts w:ascii="Times New Roman" w:hAnsi="Times New Roman" w:cs="Times New Roman"/>
          <w:sz w:val="20"/>
          <w:szCs w:val="20"/>
          <w:lang w:val="en-GB"/>
        </w:rPr>
      </w:pPr>
    </w:p>
    <w:p w14:paraId="023B9349" w14:textId="77777777" w:rsidR="002430E0" w:rsidRDefault="002430E0" w:rsidP="002F48CD">
      <w:pPr>
        <w:spacing w:after="0"/>
        <w:jc w:val="right"/>
        <w:rPr>
          <w:rFonts w:ascii="Times New Roman" w:hAnsi="Times New Roman" w:cs="Times New Roman"/>
          <w:sz w:val="20"/>
          <w:szCs w:val="20"/>
          <w:lang w:val="en-GB"/>
        </w:rPr>
      </w:pPr>
    </w:p>
    <w:p w14:paraId="06B87AC4" w14:textId="77777777" w:rsidR="00E73535" w:rsidRDefault="00E73535" w:rsidP="002F48CD">
      <w:pPr>
        <w:spacing w:after="0"/>
        <w:jc w:val="right"/>
        <w:rPr>
          <w:rFonts w:ascii="Times New Roman" w:hAnsi="Times New Roman" w:cs="Times New Roman"/>
          <w:sz w:val="20"/>
          <w:szCs w:val="20"/>
          <w:lang w:val="en-GB"/>
        </w:rPr>
      </w:pPr>
    </w:p>
    <w:p w14:paraId="22166DB8" w14:textId="77777777" w:rsidR="00E73535" w:rsidRDefault="00E73535" w:rsidP="002F48CD">
      <w:pPr>
        <w:spacing w:after="0"/>
        <w:jc w:val="right"/>
        <w:rPr>
          <w:rFonts w:ascii="Times New Roman" w:hAnsi="Times New Roman" w:cs="Times New Roman"/>
          <w:sz w:val="20"/>
          <w:szCs w:val="20"/>
          <w:lang w:val="en-GB"/>
        </w:rPr>
      </w:pPr>
    </w:p>
    <w:p w14:paraId="2A5C31C0" w14:textId="77777777" w:rsidR="00E73535" w:rsidRDefault="00E73535" w:rsidP="002F48CD">
      <w:pPr>
        <w:spacing w:after="0"/>
        <w:jc w:val="right"/>
        <w:rPr>
          <w:rFonts w:ascii="Times New Roman" w:hAnsi="Times New Roman" w:cs="Times New Roman"/>
          <w:sz w:val="20"/>
          <w:szCs w:val="20"/>
          <w:lang w:val="en-GB"/>
        </w:rPr>
      </w:pPr>
    </w:p>
    <w:p w14:paraId="279E704E" w14:textId="77777777" w:rsidR="00E73535" w:rsidRDefault="00E73535" w:rsidP="002F48CD">
      <w:pPr>
        <w:spacing w:after="0"/>
        <w:jc w:val="right"/>
        <w:rPr>
          <w:rFonts w:ascii="Times New Roman" w:hAnsi="Times New Roman" w:cs="Times New Roman"/>
          <w:sz w:val="20"/>
          <w:szCs w:val="20"/>
          <w:lang w:val="en-GB"/>
        </w:rPr>
      </w:pPr>
    </w:p>
    <w:p w14:paraId="74E6E8C1" w14:textId="77777777" w:rsidR="00E73535" w:rsidRDefault="00E73535" w:rsidP="002F48CD">
      <w:pPr>
        <w:spacing w:after="0"/>
        <w:jc w:val="right"/>
        <w:rPr>
          <w:rFonts w:ascii="Times New Roman" w:hAnsi="Times New Roman" w:cs="Times New Roman"/>
          <w:sz w:val="20"/>
          <w:szCs w:val="20"/>
          <w:lang w:val="en-GB"/>
        </w:rPr>
      </w:pPr>
    </w:p>
    <w:p w14:paraId="11E87EDA" w14:textId="77777777" w:rsidR="00E73535" w:rsidRDefault="00E73535" w:rsidP="002F48CD">
      <w:pPr>
        <w:spacing w:after="0"/>
        <w:jc w:val="right"/>
        <w:rPr>
          <w:rFonts w:ascii="Times New Roman" w:hAnsi="Times New Roman" w:cs="Times New Roman"/>
          <w:sz w:val="20"/>
          <w:szCs w:val="20"/>
          <w:lang w:val="en-GB"/>
        </w:rPr>
      </w:pPr>
    </w:p>
    <w:p w14:paraId="3960185B" w14:textId="77777777" w:rsidR="00E73535" w:rsidRDefault="00E73535" w:rsidP="002F48CD">
      <w:pPr>
        <w:spacing w:after="0"/>
        <w:jc w:val="right"/>
        <w:rPr>
          <w:rFonts w:ascii="Times New Roman" w:hAnsi="Times New Roman" w:cs="Times New Roman"/>
          <w:sz w:val="20"/>
          <w:szCs w:val="20"/>
          <w:lang w:val="en-GB"/>
        </w:rPr>
      </w:pPr>
    </w:p>
    <w:p w14:paraId="28003287" w14:textId="1DD96E10" w:rsidR="002F48CD" w:rsidRPr="009E74AA" w:rsidRDefault="000546B3" w:rsidP="002F48CD">
      <w:pPr>
        <w:spacing w:after="0"/>
        <w:jc w:val="right"/>
        <w:rPr>
          <w:rFonts w:ascii="Times New Roman" w:hAnsi="Times New Roman" w:cs="Times New Roman"/>
          <w:sz w:val="20"/>
          <w:szCs w:val="20"/>
          <w:lang w:val="en-GB"/>
        </w:rPr>
      </w:pPr>
      <w:r w:rsidRPr="009E74AA">
        <w:rPr>
          <w:rFonts w:ascii="Times New Roman" w:hAnsi="Times New Roman" w:cs="Times New Roman"/>
          <w:sz w:val="20"/>
          <w:szCs w:val="20"/>
          <w:lang w:val="en-GB"/>
        </w:rPr>
        <w:t>Annex to the Evaluation Plan</w:t>
      </w:r>
    </w:p>
    <w:p w14:paraId="2A9F35AB" w14:textId="77777777" w:rsidR="00CE32BD" w:rsidRPr="009E74AA" w:rsidRDefault="00CE32BD" w:rsidP="00CE32BD">
      <w:pPr>
        <w:spacing w:after="0"/>
        <w:jc w:val="center"/>
        <w:rPr>
          <w:rFonts w:ascii="Times New Roman" w:hAnsi="Times New Roman" w:cs="Times New Roman"/>
          <w:b/>
          <w:lang w:val="en-GB"/>
        </w:rPr>
      </w:pPr>
    </w:p>
    <w:p w14:paraId="5121D549" w14:textId="465B5DAF" w:rsidR="00781FC0" w:rsidRPr="009E74AA" w:rsidRDefault="00CE32BD" w:rsidP="000546B3">
      <w:pPr>
        <w:spacing w:after="0"/>
        <w:jc w:val="center"/>
        <w:rPr>
          <w:rFonts w:ascii="Times New Roman" w:hAnsi="Times New Roman" w:cs="Times New Roman"/>
          <w:lang w:val="en-GB"/>
        </w:rPr>
      </w:pPr>
      <w:r w:rsidRPr="009E74AA">
        <w:rPr>
          <w:rFonts w:ascii="Times New Roman" w:hAnsi="Times New Roman" w:cs="Times New Roman"/>
          <w:b/>
          <w:lang w:val="en-GB"/>
        </w:rPr>
        <w:t>PRELIMINA</w:t>
      </w:r>
      <w:r w:rsidR="000546B3" w:rsidRPr="009E74AA">
        <w:rPr>
          <w:rFonts w:ascii="Times New Roman" w:hAnsi="Times New Roman" w:cs="Times New Roman"/>
          <w:b/>
          <w:lang w:val="en-GB"/>
        </w:rPr>
        <w:t xml:space="preserve">RY EVALUATION QUESTIONS ACCORDING TO THE MANDATORY EVALUATION CRITERIA </w:t>
      </w:r>
    </w:p>
    <w:tbl>
      <w:tblPr>
        <w:tblStyle w:val="TableGrid"/>
        <w:tblW w:w="14454" w:type="dxa"/>
        <w:tblLook w:val="04A0" w:firstRow="1" w:lastRow="0" w:firstColumn="1" w:lastColumn="0" w:noHBand="0" w:noVBand="1"/>
      </w:tblPr>
      <w:tblGrid>
        <w:gridCol w:w="1646"/>
        <w:gridCol w:w="3227"/>
        <w:gridCol w:w="9581"/>
      </w:tblGrid>
      <w:tr w:rsidR="002F48CD" w:rsidRPr="009E74AA" w14:paraId="58E97951" w14:textId="77777777" w:rsidTr="00B771E2">
        <w:tc>
          <w:tcPr>
            <w:tcW w:w="1646" w:type="dxa"/>
            <w:shd w:val="clear" w:color="auto" w:fill="D9D9D9" w:themeFill="background1" w:themeFillShade="D9"/>
          </w:tcPr>
          <w:p w14:paraId="6B057D12" w14:textId="5CE3CD5A" w:rsidR="002F48CD" w:rsidRPr="009E74AA" w:rsidRDefault="0014051F" w:rsidP="002F48CD">
            <w:pPr>
              <w:jc w:val="center"/>
              <w:rPr>
                <w:rFonts w:ascii="Times New Roman" w:hAnsi="Times New Roman" w:cs="Times New Roman"/>
                <w:b/>
                <w:lang w:val="en-GB"/>
              </w:rPr>
            </w:pPr>
            <w:r w:rsidRPr="009E74AA">
              <w:rPr>
                <w:rFonts w:ascii="Times New Roman" w:hAnsi="Times New Roman" w:cs="Times New Roman"/>
                <w:b/>
                <w:lang w:val="en-GB"/>
              </w:rPr>
              <w:t>Evaluation criterion</w:t>
            </w:r>
          </w:p>
        </w:tc>
        <w:tc>
          <w:tcPr>
            <w:tcW w:w="3227" w:type="dxa"/>
            <w:shd w:val="clear" w:color="auto" w:fill="D9D9D9" w:themeFill="background1" w:themeFillShade="D9"/>
          </w:tcPr>
          <w:p w14:paraId="4C9C18D2" w14:textId="0B9657DA" w:rsidR="002F48CD" w:rsidRPr="009E74AA" w:rsidRDefault="0014051F" w:rsidP="002F48CD">
            <w:pPr>
              <w:jc w:val="center"/>
              <w:rPr>
                <w:rFonts w:ascii="Times New Roman" w:hAnsi="Times New Roman" w:cs="Times New Roman"/>
                <w:b/>
                <w:lang w:val="en-GB"/>
              </w:rPr>
            </w:pPr>
            <w:r w:rsidRPr="009E74AA">
              <w:rPr>
                <w:rFonts w:ascii="Times New Roman" w:hAnsi="Times New Roman" w:cs="Times New Roman"/>
                <w:b/>
                <w:lang w:val="en-GB"/>
              </w:rPr>
              <w:t xml:space="preserve">Evaluation questions </w:t>
            </w:r>
          </w:p>
        </w:tc>
        <w:tc>
          <w:tcPr>
            <w:tcW w:w="9581" w:type="dxa"/>
            <w:shd w:val="clear" w:color="auto" w:fill="D9D9D9" w:themeFill="background1" w:themeFillShade="D9"/>
          </w:tcPr>
          <w:p w14:paraId="1B70FEBE" w14:textId="0C14FB71" w:rsidR="002F48CD" w:rsidRPr="009E74AA" w:rsidRDefault="0014051F" w:rsidP="002F48CD">
            <w:pPr>
              <w:jc w:val="center"/>
              <w:rPr>
                <w:rFonts w:ascii="Times New Roman" w:hAnsi="Times New Roman" w:cs="Times New Roman"/>
                <w:b/>
                <w:lang w:val="en-GB"/>
              </w:rPr>
            </w:pPr>
            <w:r w:rsidRPr="009E74AA">
              <w:rPr>
                <w:rFonts w:ascii="Times New Roman" w:hAnsi="Times New Roman" w:cs="Times New Roman"/>
                <w:b/>
                <w:lang w:val="en-GB"/>
              </w:rPr>
              <w:t>Preliminary evaluation aspects</w:t>
            </w:r>
          </w:p>
        </w:tc>
      </w:tr>
      <w:tr w:rsidR="002F48CD" w:rsidRPr="009E74AA" w14:paraId="4BFA9B2D" w14:textId="77777777" w:rsidTr="00B771E2">
        <w:tc>
          <w:tcPr>
            <w:tcW w:w="1646" w:type="dxa"/>
            <w:vMerge w:val="restart"/>
            <w:shd w:val="clear" w:color="auto" w:fill="F2F2F2" w:themeFill="background1" w:themeFillShade="F2"/>
          </w:tcPr>
          <w:p w14:paraId="0FDFFE68" w14:textId="3BDCF63E" w:rsidR="002F48CD" w:rsidRPr="009E74AA" w:rsidRDefault="0014051F" w:rsidP="002F48CD">
            <w:pPr>
              <w:rPr>
                <w:rFonts w:ascii="Times New Roman" w:hAnsi="Times New Roman" w:cs="Times New Roman"/>
                <w:lang w:val="en-GB"/>
              </w:rPr>
            </w:pPr>
            <w:r w:rsidRPr="009E74AA">
              <w:rPr>
                <w:rFonts w:ascii="Times New Roman" w:hAnsi="Times New Roman" w:cs="Times New Roman"/>
                <w:lang w:val="en-GB"/>
              </w:rPr>
              <w:t>E</w:t>
            </w:r>
            <w:r w:rsidR="002F48CD" w:rsidRPr="009E74AA">
              <w:rPr>
                <w:rFonts w:ascii="Times New Roman" w:hAnsi="Times New Roman" w:cs="Times New Roman"/>
                <w:lang w:val="en-GB"/>
              </w:rPr>
              <w:t>ffectiveness</w:t>
            </w:r>
          </w:p>
        </w:tc>
        <w:tc>
          <w:tcPr>
            <w:tcW w:w="3227" w:type="dxa"/>
          </w:tcPr>
          <w:p w14:paraId="7FD0FA8C" w14:textId="7D9C8A07" w:rsidR="002F48CD" w:rsidRPr="009E74AA" w:rsidRDefault="0014051F" w:rsidP="002F48CD">
            <w:pPr>
              <w:rPr>
                <w:rFonts w:ascii="Times New Roman" w:hAnsi="Times New Roman" w:cs="Times New Roman"/>
                <w:lang w:val="en-GB"/>
              </w:rPr>
            </w:pPr>
            <w:r w:rsidRPr="009E74AA">
              <w:rPr>
                <w:rFonts w:ascii="Times New Roman" w:hAnsi="Times New Roman" w:cs="Times New Roman"/>
                <w:lang w:val="en-GB"/>
              </w:rPr>
              <w:t>To what extent the Programme corresponds to changing needs / current situation?</w:t>
            </w:r>
          </w:p>
        </w:tc>
        <w:tc>
          <w:tcPr>
            <w:tcW w:w="9581" w:type="dxa"/>
          </w:tcPr>
          <w:p w14:paraId="58E4EDDA" w14:textId="5C0626F1"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The stakeholders have been properly identified according to the objectives set in legal acts;</w:t>
            </w:r>
          </w:p>
          <w:p w14:paraId="3EF7DBF3" w14:textId="77777777"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The needs analysis on the basis of which the Programme was prepared and relevant resources allocated is in line with the current situation and current stakeholder needs;</w:t>
            </w:r>
          </w:p>
          <w:p w14:paraId="7A805CC8" w14:textId="3D890B72"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xml:space="preserve">- A Programme strategy was prepared for the meeting of these needs, divided into phases and </w:t>
            </w:r>
            <w:r w:rsidR="009E74AA" w:rsidRPr="009E74AA">
              <w:rPr>
                <w:rFonts w:ascii="Times New Roman" w:hAnsi="Times New Roman" w:cs="Times New Roman"/>
                <w:lang w:val="en-GB"/>
              </w:rPr>
              <w:t>objectives</w:t>
            </w:r>
            <w:r w:rsidRPr="009E74AA">
              <w:rPr>
                <w:rFonts w:ascii="Times New Roman" w:hAnsi="Times New Roman" w:cs="Times New Roman"/>
                <w:lang w:val="en-GB"/>
              </w:rPr>
              <w:t>, and resources allocated on a proportional basis;</w:t>
            </w:r>
          </w:p>
          <w:p w14:paraId="1E2949DE" w14:textId="5A9DE8AF"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xml:space="preserve">- The list of the Programme‘s implementation measures complying with legal </w:t>
            </w:r>
            <w:r w:rsidR="009E74AA" w:rsidRPr="009E74AA">
              <w:rPr>
                <w:rFonts w:ascii="Times New Roman" w:hAnsi="Times New Roman" w:cs="Times New Roman"/>
                <w:lang w:val="en-GB"/>
              </w:rPr>
              <w:t>requirements</w:t>
            </w:r>
            <w:r w:rsidRPr="009E74AA">
              <w:rPr>
                <w:rFonts w:ascii="Times New Roman" w:hAnsi="Times New Roman" w:cs="Times New Roman"/>
                <w:lang w:val="en-GB"/>
              </w:rPr>
              <w:t xml:space="preserve"> is suitable for meeting both current and future needs of target groups/stakeholders;</w:t>
            </w:r>
          </w:p>
          <w:p w14:paraId="4F9616EE" w14:textId="5367DBEE"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xml:space="preserve">- ... </w:t>
            </w:r>
          </w:p>
        </w:tc>
      </w:tr>
      <w:tr w:rsidR="002F48CD" w:rsidRPr="009E74AA" w14:paraId="211904E4" w14:textId="77777777" w:rsidTr="00B771E2">
        <w:tc>
          <w:tcPr>
            <w:tcW w:w="1646" w:type="dxa"/>
            <w:vMerge/>
            <w:shd w:val="clear" w:color="auto" w:fill="F2F2F2" w:themeFill="background1" w:themeFillShade="F2"/>
          </w:tcPr>
          <w:p w14:paraId="681FEAB5" w14:textId="77777777" w:rsidR="002F48CD" w:rsidRPr="009E74AA" w:rsidRDefault="002F48CD" w:rsidP="008641E2">
            <w:pPr>
              <w:rPr>
                <w:rFonts w:ascii="Times New Roman" w:hAnsi="Times New Roman" w:cs="Times New Roman"/>
                <w:lang w:val="en-GB"/>
              </w:rPr>
            </w:pPr>
          </w:p>
        </w:tc>
        <w:tc>
          <w:tcPr>
            <w:tcW w:w="3227" w:type="dxa"/>
          </w:tcPr>
          <w:p w14:paraId="2B7C0808" w14:textId="55DE2B98" w:rsidR="002F48CD" w:rsidRPr="009E74AA" w:rsidRDefault="0014051F" w:rsidP="00FC1DEB">
            <w:pPr>
              <w:rPr>
                <w:rFonts w:ascii="Times New Roman" w:hAnsi="Times New Roman" w:cs="Times New Roman"/>
                <w:lang w:val="en-GB"/>
              </w:rPr>
            </w:pPr>
            <w:r w:rsidRPr="009E74AA">
              <w:rPr>
                <w:rFonts w:ascii="Times New Roman" w:hAnsi="Times New Roman" w:cs="Times New Roman"/>
                <w:lang w:val="en-GB"/>
              </w:rPr>
              <w:t>To what extent the Programme can adapt to changing needs / current situation?</w:t>
            </w:r>
          </w:p>
        </w:tc>
        <w:tc>
          <w:tcPr>
            <w:tcW w:w="9581" w:type="dxa"/>
          </w:tcPr>
          <w:p w14:paraId="0A60199E" w14:textId="77777777"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The need assessment is made and updated on a regular basis or when a need arises / a change takes place;</w:t>
            </w:r>
          </w:p>
          <w:p w14:paraId="0E9308A4" w14:textId="4CF1544C" w:rsidR="00CA4074" w:rsidRPr="009E74AA" w:rsidRDefault="00CA4074" w:rsidP="00B771E2">
            <w:pPr>
              <w:jc w:val="both"/>
              <w:rPr>
                <w:rFonts w:ascii="Times New Roman" w:hAnsi="Times New Roman" w:cs="Times New Roman"/>
                <w:lang w:val="en-GB"/>
              </w:rPr>
            </w:pPr>
            <w:r w:rsidRPr="009E74AA">
              <w:rPr>
                <w:rFonts w:ascii="Times New Roman" w:hAnsi="Times New Roman" w:cs="Times New Roman"/>
                <w:lang w:val="en-GB"/>
              </w:rPr>
              <w:t xml:space="preserve">- </w:t>
            </w:r>
            <w:r w:rsidR="00BC614F" w:rsidRPr="009E74AA">
              <w:rPr>
                <w:rFonts w:ascii="Times New Roman" w:hAnsi="Times New Roman" w:cs="Times New Roman"/>
                <w:lang w:val="en-GB"/>
              </w:rPr>
              <w:t xml:space="preserve">The </w:t>
            </w:r>
            <w:r w:rsidR="009E74AA" w:rsidRPr="009E74AA">
              <w:rPr>
                <w:rFonts w:ascii="Times New Roman" w:hAnsi="Times New Roman" w:cs="Times New Roman"/>
                <w:lang w:val="en-GB"/>
              </w:rPr>
              <w:t>partners</w:t>
            </w:r>
            <w:r w:rsidR="00BC614F" w:rsidRPr="009E74AA">
              <w:rPr>
                <w:rFonts w:ascii="Times New Roman" w:hAnsi="Times New Roman" w:cs="Times New Roman"/>
                <w:lang w:val="en-GB"/>
              </w:rPr>
              <w:t xml:space="preserve">/Monitoring Committee can timely provide </w:t>
            </w:r>
            <w:r w:rsidR="009E74AA" w:rsidRPr="009E74AA">
              <w:rPr>
                <w:rFonts w:ascii="Times New Roman" w:hAnsi="Times New Roman" w:cs="Times New Roman"/>
                <w:lang w:val="en-GB"/>
              </w:rPr>
              <w:t>information</w:t>
            </w:r>
            <w:r w:rsidR="00BC614F" w:rsidRPr="009E74AA">
              <w:rPr>
                <w:rFonts w:ascii="Times New Roman" w:hAnsi="Times New Roman" w:cs="Times New Roman"/>
                <w:lang w:val="en-GB"/>
              </w:rPr>
              <w:t xml:space="preserve"> on changing needs and actual events;</w:t>
            </w:r>
          </w:p>
          <w:p w14:paraId="092F1BD7" w14:textId="77777777" w:rsidR="00BC614F" w:rsidRPr="009E74AA" w:rsidRDefault="00BC614F" w:rsidP="00B771E2">
            <w:pPr>
              <w:jc w:val="both"/>
              <w:rPr>
                <w:rFonts w:ascii="Times New Roman" w:hAnsi="Times New Roman" w:cs="Times New Roman"/>
                <w:lang w:val="en-GB"/>
              </w:rPr>
            </w:pPr>
            <w:r w:rsidRPr="009E74AA">
              <w:rPr>
                <w:rFonts w:ascii="Times New Roman" w:hAnsi="Times New Roman" w:cs="Times New Roman"/>
                <w:lang w:val="en-GB"/>
              </w:rPr>
              <w:t>- The Programme’s actions/projects are planned in a sufficiently flexible way;</w:t>
            </w:r>
          </w:p>
          <w:p w14:paraId="15D3EA71" w14:textId="4792BD8C" w:rsidR="00BC614F" w:rsidRPr="009E74AA" w:rsidRDefault="00BC614F" w:rsidP="00B771E2">
            <w:pPr>
              <w:jc w:val="both"/>
              <w:rPr>
                <w:rFonts w:ascii="Times New Roman" w:hAnsi="Times New Roman" w:cs="Times New Roman"/>
                <w:lang w:val="en-GB"/>
              </w:rPr>
            </w:pPr>
            <w:r w:rsidRPr="009E74AA">
              <w:rPr>
                <w:rFonts w:ascii="Times New Roman" w:hAnsi="Times New Roman" w:cs="Times New Roman"/>
                <w:lang w:val="en-GB"/>
              </w:rPr>
              <w:t>- Non-</w:t>
            </w:r>
            <w:r w:rsidR="009E74AA" w:rsidRPr="009E74AA">
              <w:rPr>
                <w:rFonts w:ascii="Times New Roman" w:hAnsi="Times New Roman" w:cs="Times New Roman"/>
                <w:lang w:val="en-GB"/>
              </w:rPr>
              <w:t>essential</w:t>
            </w:r>
            <w:r w:rsidRPr="009E74AA">
              <w:rPr>
                <w:rFonts w:ascii="Times New Roman" w:hAnsi="Times New Roman" w:cs="Times New Roman"/>
                <w:lang w:val="en-GB"/>
              </w:rPr>
              <w:t xml:space="preserve"> amendments to the Programme can be made quickly if necessary;</w:t>
            </w:r>
          </w:p>
          <w:p w14:paraId="7ED1EA03" w14:textId="77777777" w:rsidR="00BC614F" w:rsidRPr="009E74AA" w:rsidRDefault="00BC614F" w:rsidP="00B771E2">
            <w:pPr>
              <w:jc w:val="both"/>
              <w:rPr>
                <w:rFonts w:ascii="Times New Roman" w:hAnsi="Times New Roman" w:cs="Times New Roman"/>
                <w:lang w:val="en-GB"/>
              </w:rPr>
            </w:pPr>
            <w:r w:rsidRPr="009E74AA">
              <w:rPr>
                <w:rFonts w:ascii="Times New Roman" w:hAnsi="Times New Roman" w:cs="Times New Roman"/>
                <w:lang w:val="en-GB"/>
              </w:rPr>
              <w:t>- Rules and procedures are in place ensuring that essential changes to the Programme will be timely made if new needs arise;</w:t>
            </w:r>
          </w:p>
          <w:p w14:paraId="749BC122" w14:textId="77777777" w:rsidR="00BC614F" w:rsidRPr="009E74AA" w:rsidRDefault="00BC614F" w:rsidP="00B771E2">
            <w:pPr>
              <w:jc w:val="both"/>
              <w:rPr>
                <w:rFonts w:ascii="Times New Roman" w:hAnsi="Times New Roman" w:cs="Times New Roman"/>
                <w:lang w:val="en-GB"/>
              </w:rPr>
            </w:pPr>
            <w:r w:rsidRPr="009E74AA">
              <w:rPr>
                <w:rFonts w:ascii="Times New Roman" w:hAnsi="Times New Roman" w:cs="Times New Roman"/>
                <w:lang w:val="en-GB"/>
              </w:rPr>
              <w:t>- If needs have changed after approval of the Programme, the Programme’s strategy and/or the action/project can be timely adapted or new needs included through a thematic measure;</w:t>
            </w:r>
          </w:p>
          <w:p w14:paraId="0F614176" w14:textId="5A2B5172" w:rsidR="00BC614F" w:rsidRPr="009E74AA" w:rsidRDefault="00BC614F" w:rsidP="00B771E2">
            <w:pPr>
              <w:jc w:val="both"/>
              <w:rPr>
                <w:rFonts w:ascii="Times New Roman" w:hAnsi="Times New Roman" w:cs="Times New Roman"/>
                <w:lang w:val="en-GB"/>
              </w:rPr>
            </w:pPr>
            <w:r w:rsidRPr="009E74AA">
              <w:rPr>
                <w:rFonts w:ascii="Times New Roman" w:hAnsi="Times New Roman" w:cs="Times New Roman"/>
                <w:lang w:val="en-GB"/>
              </w:rPr>
              <w:t>- ...</w:t>
            </w:r>
          </w:p>
        </w:tc>
      </w:tr>
      <w:tr w:rsidR="00781FC0" w:rsidRPr="009E74AA" w14:paraId="035C4864" w14:textId="77777777" w:rsidTr="00B771E2">
        <w:tc>
          <w:tcPr>
            <w:tcW w:w="1646" w:type="dxa"/>
            <w:vMerge w:val="restart"/>
            <w:shd w:val="clear" w:color="auto" w:fill="F2F2F2" w:themeFill="background1" w:themeFillShade="F2"/>
          </w:tcPr>
          <w:p w14:paraId="4B591815" w14:textId="6C9EA97E" w:rsidR="00781FC0" w:rsidRPr="009E74AA" w:rsidRDefault="0014051F" w:rsidP="008641E2">
            <w:pPr>
              <w:rPr>
                <w:rFonts w:ascii="Times New Roman" w:hAnsi="Times New Roman" w:cs="Times New Roman"/>
                <w:lang w:val="en-GB"/>
              </w:rPr>
            </w:pPr>
            <w:r w:rsidRPr="009E74AA">
              <w:rPr>
                <w:rFonts w:ascii="Times New Roman" w:hAnsi="Times New Roman" w:cs="Times New Roman"/>
                <w:lang w:val="en-GB"/>
              </w:rPr>
              <w:t>E</w:t>
            </w:r>
            <w:r w:rsidR="00781FC0" w:rsidRPr="009E74AA">
              <w:rPr>
                <w:rFonts w:ascii="Times New Roman" w:hAnsi="Times New Roman" w:cs="Times New Roman"/>
                <w:lang w:val="en-GB"/>
              </w:rPr>
              <w:t>fficiency</w:t>
            </w:r>
          </w:p>
          <w:p w14:paraId="2A31A8B6" w14:textId="77777777" w:rsidR="00781FC0" w:rsidRPr="009E74AA" w:rsidRDefault="00781FC0" w:rsidP="008641E2">
            <w:pPr>
              <w:rPr>
                <w:rFonts w:ascii="Times New Roman" w:hAnsi="Times New Roman" w:cs="Times New Roman"/>
                <w:lang w:val="en-GB"/>
              </w:rPr>
            </w:pPr>
          </w:p>
          <w:p w14:paraId="0E1C026C" w14:textId="77777777" w:rsidR="00781FC0" w:rsidRPr="009E74AA" w:rsidRDefault="00781FC0" w:rsidP="008641E2">
            <w:pPr>
              <w:rPr>
                <w:rFonts w:ascii="Times New Roman" w:hAnsi="Times New Roman" w:cs="Times New Roman"/>
                <w:lang w:val="en-GB"/>
              </w:rPr>
            </w:pPr>
          </w:p>
          <w:p w14:paraId="7F02B444" w14:textId="77777777" w:rsidR="00781FC0" w:rsidRPr="009E74AA" w:rsidRDefault="00781FC0" w:rsidP="008641E2">
            <w:pPr>
              <w:rPr>
                <w:rFonts w:ascii="Times New Roman" w:hAnsi="Times New Roman" w:cs="Times New Roman"/>
                <w:lang w:val="en-GB"/>
              </w:rPr>
            </w:pPr>
          </w:p>
          <w:p w14:paraId="684F138F" w14:textId="77777777" w:rsidR="00781FC0" w:rsidRPr="009E74AA" w:rsidRDefault="00781FC0" w:rsidP="008641E2">
            <w:pPr>
              <w:rPr>
                <w:rFonts w:ascii="Times New Roman" w:hAnsi="Times New Roman" w:cs="Times New Roman"/>
                <w:lang w:val="en-GB"/>
              </w:rPr>
            </w:pPr>
          </w:p>
          <w:p w14:paraId="05DD782A" w14:textId="77777777" w:rsidR="00781FC0" w:rsidRPr="009E74AA" w:rsidRDefault="00781FC0" w:rsidP="008641E2">
            <w:pPr>
              <w:rPr>
                <w:rFonts w:ascii="Times New Roman" w:hAnsi="Times New Roman" w:cs="Times New Roman"/>
                <w:lang w:val="en-GB"/>
              </w:rPr>
            </w:pPr>
          </w:p>
          <w:p w14:paraId="678C187A" w14:textId="77777777" w:rsidR="00781FC0" w:rsidRPr="009E74AA" w:rsidRDefault="00781FC0" w:rsidP="008641E2">
            <w:pPr>
              <w:rPr>
                <w:rFonts w:ascii="Times New Roman" w:hAnsi="Times New Roman" w:cs="Times New Roman"/>
                <w:lang w:val="en-GB"/>
              </w:rPr>
            </w:pPr>
          </w:p>
          <w:p w14:paraId="37A682BF" w14:textId="77777777" w:rsidR="00781FC0" w:rsidRPr="009E74AA" w:rsidRDefault="00781FC0" w:rsidP="008641E2">
            <w:pPr>
              <w:rPr>
                <w:rFonts w:ascii="Times New Roman" w:hAnsi="Times New Roman" w:cs="Times New Roman"/>
                <w:lang w:val="en-GB"/>
              </w:rPr>
            </w:pPr>
          </w:p>
          <w:p w14:paraId="3FB59F87" w14:textId="77777777" w:rsidR="00781FC0" w:rsidRPr="009E74AA" w:rsidRDefault="00781FC0" w:rsidP="008641E2">
            <w:pPr>
              <w:rPr>
                <w:rFonts w:ascii="Times New Roman" w:hAnsi="Times New Roman" w:cs="Times New Roman"/>
                <w:lang w:val="en-GB"/>
              </w:rPr>
            </w:pPr>
          </w:p>
          <w:p w14:paraId="194ACBC1" w14:textId="77777777" w:rsidR="00781FC0" w:rsidRPr="009E74AA" w:rsidRDefault="00781FC0" w:rsidP="008641E2">
            <w:pPr>
              <w:rPr>
                <w:rFonts w:ascii="Times New Roman" w:hAnsi="Times New Roman" w:cs="Times New Roman"/>
                <w:lang w:val="en-GB"/>
              </w:rPr>
            </w:pPr>
          </w:p>
          <w:p w14:paraId="31A51F4F" w14:textId="77777777" w:rsidR="00781FC0" w:rsidRPr="009E74AA" w:rsidRDefault="00781FC0" w:rsidP="008641E2">
            <w:pPr>
              <w:rPr>
                <w:rFonts w:ascii="Times New Roman" w:hAnsi="Times New Roman" w:cs="Times New Roman"/>
                <w:lang w:val="en-GB"/>
              </w:rPr>
            </w:pPr>
          </w:p>
          <w:p w14:paraId="20FE2417" w14:textId="77777777" w:rsidR="00781FC0" w:rsidRPr="009E74AA" w:rsidRDefault="00781FC0" w:rsidP="008641E2">
            <w:pPr>
              <w:rPr>
                <w:rFonts w:ascii="Times New Roman" w:hAnsi="Times New Roman" w:cs="Times New Roman"/>
                <w:lang w:val="en-GB"/>
              </w:rPr>
            </w:pPr>
          </w:p>
          <w:p w14:paraId="3DDC618E" w14:textId="77777777" w:rsidR="00781FC0" w:rsidRPr="009E74AA" w:rsidRDefault="00781FC0" w:rsidP="008641E2">
            <w:pPr>
              <w:rPr>
                <w:rFonts w:ascii="Times New Roman" w:hAnsi="Times New Roman" w:cs="Times New Roman"/>
                <w:lang w:val="en-GB"/>
              </w:rPr>
            </w:pPr>
          </w:p>
          <w:p w14:paraId="2A5C40CD" w14:textId="77777777" w:rsidR="00781FC0" w:rsidRPr="009E74AA" w:rsidRDefault="00781FC0" w:rsidP="008641E2">
            <w:pPr>
              <w:rPr>
                <w:rFonts w:ascii="Times New Roman" w:hAnsi="Times New Roman" w:cs="Times New Roman"/>
                <w:lang w:val="en-GB"/>
              </w:rPr>
            </w:pPr>
          </w:p>
          <w:p w14:paraId="0ABAED1D" w14:textId="77777777" w:rsidR="00781FC0" w:rsidRPr="009E74AA" w:rsidRDefault="00781FC0" w:rsidP="008641E2">
            <w:pPr>
              <w:rPr>
                <w:rFonts w:ascii="Times New Roman" w:hAnsi="Times New Roman" w:cs="Times New Roman"/>
                <w:lang w:val="en-GB"/>
              </w:rPr>
            </w:pPr>
          </w:p>
          <w:p w14:paraId="3B9AF50B" w14:textId="77777777" w:rsidR="00781FC0" w:rsidRPr="009E74AA" w:rsidRDefault="00781FC0" w:rsidP="008641E2">
            <w:pPr>
              <w:rPr>
                <w:rFonts w:ascii="Times New Roman" w:hAnsi="Times New Roman" w:cs="Times New Roman"/>
                <w:lang w:val="en-GB"/>
              </w:rPr>
            </w:pPr>
          </w:p>
          <w:p w14:paraId="13BF8FF6" w14:textId="77777777" w:rsidR="00781FC0" w:rsidRPr="009E74AA" w:rsidRDefault="00781FC0" w:rsidP="008641E2">
            <w:pPr>
              <w:rPr>
                <w:rFonts w:ascii="Times New Roman" w:hAnsi="Times New Roman" w:cs="Times New Roman"/>
                <w:lang w:val="en-GB"/>
              </w:rPr>
            </w:pPr>
          </w:p>
          <w:p w14:paraId="78E18C1C" w14:textId="77777777" w:rsidR="00781FC0" w:rsidRPr="009E74AA" w:rsidRDefault="00781FC0" w:rsidP="008641E2">
            <w:pPr>
              <w:rPr>
                <w:rFonts w:ascii="Times New Roman" w:hAnsi="Times New Roman" w:cs="Times New Roman"/>
                <w:lang w:val="en-GB"/>
              </w:rPr>
            </w:pPr>
          </w:p>
          <w:p w14:paraId="5C900958" w14:textId="77777777" w:rsidR="00781FC0" w:rsidRPr="009E74AA" w:rsidRDefault="00781FC0" w:rsidP="008641E2">
            <w:pPr>
              <w:rPr>
                <w:rFonts w:ascii="Times New Roman" w:hAnsi="Times New Roman" w:cs="Times New Roman"/>
                <w:lang w:val="en-GB"/>
              </w:rPr>
            </w:pPr>
          </w:p>
          <w:p w14:paraId="105EF713" w14:textId="77777777" w:rsidR="00781FC0" w:rsidRPr="009E74AA" w:rsidRDefault="00781FC0" w:rsidP="008641E2">
            <w:pPr>
              <w:rPr>
                <w:rFonts w:ascii="Times New Roman" w:hAnsi="Times New Roman" w:cs="Times New Roman"/>
                <w:lang w:val="en-GB"/>
              </w:rPr>
            </w:pPr>
          </w:p>
          <w:p w14:paraId="002ED200" w14:textId="77777777" w:rsidR="00781FC0" w:rsidRPr="009E74AA" w:rsidRDefault="00781FC0" w:rsidP="008641E2">
            <w:pPr>
              <w:rPr>
                <w:rFonts w:ascii="Times New Roman" w:hAnsi="Times New Roman" w:cs="Times New Roman"/>
                <w:lang w:val="en-GB"/>
              </w:rPr>
            </w:pPr>
          </w:p>
          <w:p w14:paraId="31EAA7B9" w14:textId="77777777" w:rsidR="00781FC0" w:rsidRPr="009E74AA" w:rsidRDefault="00781FC0" w:rsidP="008641E2">
            <w:pPr>
              <w:rPr>
                <w:rFonts w:ascii="Times New Roman" w:hAnsi="Times New Roman" w:cs="Times New Roman"/>
                <w:lang w:val="en-GB"/>
              </w:rPr>
            </w:pPr>
          </w:p>
          <w:p w14:paraId="05686C92" w14:textId="77777777" w:rsidR="00781FC0" w:rsidRPr="009E74AA" w:rsidRDefault="00781FC0" w:rsidP="008641E2">
            <w:pPr>
              <w:rPr>
                <w:rFonts w:ascii="Times New Roman" w:hAnsi="Times New Roman" w:cs="Times New Roman"/>
                <w:lang w:val="en-GB"/>
              </w:rPr>
            </w:pPr>
          </w:p>
          <w:p w14:paraId="03D42475" w14:textId="77777777" w:rsidR="00781FC0" w:rsidRPr="009E74AA" w:rsidRDefault="00781FC0" w:rsidP="008641E2">
            <w:pPr>
              <w:rPr>
                <w:rFonts w:ascii="Times New Roman" w:hAnsi="Times New Roman" w:cs="Times New Roman"/>
                <w:lang w:val="en-GB"/>
              </w:rPr>
            </w:pPr>
          </w:p>
          <w:p w14:paraId="6C4DF649" w14:textId="77777777" w:rsidR="00781FC0" w:rsidRPr="009E74AA" w:rsidRDefault="00781FC0" w:rsidP="008641E2">
            <w:pPr>
              <w:rPr>
                <w:rFonts w:ascii="Times New Roman" w:hAnsi="Times New Roman" w:cs="Times New Roman"/>
                <w:lang w:val="en-GB"/>
              </w:rPr>
            </w:pPr>
          </w:p>
          <w:p w14:paraId="2215638B" w14:textId="77777777" w:rsidR="00781FC0" w:rsidRPr="009E74AA" w:rsidRDefault="00781FC0" w:rsidP="008641E2">
            <w:pPr>
              <w:rPr>
                <w:rFonts w:ascii="Times New Roman" w:hAnsi="Times New Roman" w:cs="Times New Roman"/>
                <w:lang w:val="en-GB"/>
              </w:rPr>
            </w:pPr>
          </w:p>
          <w:p w14:paraId="5C20730C" w14:textId="77777777" w:rsidR="00781FC0" w:rsidRPr="009E74AA" w:rsidRDefault="00781FC0" w:rsidP="008641E2">
            <w:pPr>
              <w:rPr>
                <w:rFonts w:ascii="Times New Roman" w:hAnsi="Times New Roman" w:cs="Times New Roman"/>
                <w:lang w:val="en-GB"/>
              </w:rPr>
            </w:pPr>
          </w:p>
          <w:p w14:paraId="362C4F84" w14:textId="77777777" w:rsidR="00781FC0" w:rsidRPr="009E74AA" w:rsidRDefault="00781FC0" w:rsidP="008641E2">
            <w:pPr>
              <w:rPr>
                <w:rFonts w:ascii="Times New Roman" w:hAnsi="Times New Roman" w:cs="Times New Roman"/>
                <w:lang w:val="en-GB"/>
              </w:rPr>
            </w:pPr>
          </w:p>
          <w:p w14:paraId="7C22F745" w14:textId="77777777" w:rsidR="00781FC0" w:rsidRPr="009E74AA" w:rsidRDefault="00781FC0" w:rsidP="008641E2">
            <w:pPr>
              <w:rPr>
                <w:rFonts w:ascii="Times New Roman" w:hAnsi="Times New Roman" w:cs="Times New Roman"/>
                <w:lang w:val="en-GB"/>
              </w:rPr>
            </w:pPr>
          </w:p>
          <w:p w14:paraId="7B1C894B" w14:textId="77777777" w:rsidR="00781FC0" w:rsidRPr="009E74AA" w:rsidRDefault="00781FC0" w:rsidP="008641E2">
            <w:pPr>
              <w:rPr>
                <w:rFonts w:ascii="Times New Roman" w:hAnsi="Times New Roman" w:cs="Times New Roman"/>
                <w:lang w:val="en-GB"/>
              </w:rPr>
            </w:pPr>
          </w:p>
          <w:p w14:paraId="7E5E5DE5" w14:textId="77777777" w:rsidR="00781FC0" w:rsidRPr="009E74AA" w:rsidRDefault="00781FC0" w:rsidP="008641E2">
            <w:pPr>
              <w:rPr>
                <w:rFonts w:ascii="Times New Roman" w:hAnsi="Times New Roman" w:cs="Times New Roman"/>
                <w:lang w:val="en-GB"/>
              </w:rPr>
            </w:pPr>
          </w:p>
          <w:p w14:paraId="48C472FC" w14:textId="77777777" w:rsidR="00781FC0" w:rsidRPr="009E74AA" w:rsidRDefault="00781FC0" w:rsidP="008641E2">
            <w:pPr>
              <w:rPr>
                <w:rFonts w:ascii="Times New Roman" w:hAnsi="Times New Roman" w:cs="Times New Roman"/>
                <w:lang w:val="en-GB"/>
              </w:rPr>
            </w:pPr>
          </w:p>
          <w:p w14:paraId="38F4C9F9" w14:textId="77777777" w:rsidR="00781FC0" w:rsidRPr="009E74AA" w:rsidRDefault="00781FC0" w:rsidP="008641E2">
            <w:pPr>
              <w:rPr>
                <w:rFonts w:ascii="Times New Roman" w:hAnsi="Times New Roman" w:cs="Times New Roman"/>
                <w:lang w:val="en-GB"/>
              </w:rPr>
            </w:pPr>
          </w:p>
          <w:p w14:paraId="54F0B61E" w14:textId="77777777" w:rsidR="00781FC0" w:rsidRPr="009E74AA" w:rsidRDefault="00781FC0" w:rsidP="008641E2">
            <w:pPr>
              <w:rPr>
                <w:rFonts w:ascii="Times New Roman" w:hAnsi="Times New Roman" w:cs="Times New Roman"/>
                <w:lang w:val="en-GB"/>
              </w:rPr>
            </w:pPr>
          </w:p>
          <w:p w14:paraId="37A90264" w14:textId="77777777" w:rsidR="00781FC0" w:rsidRPr="009E74AA" w:rsidRDefault="00781FC0" w:rsidP="008641E2">
            <w:pPr>
              <w:rPr>
                <w:rFonts w:ascii="Times New Roman" w:hAnsi="Times New Roman" w:cs="Times New Roman"/>
                <w:lang w:val="en-GB"/>
              </w:rPr>
            </w:pPr>
          </w:p>
          <w:p w14:paraId="0AFE9761" w14:textId="77777777" w:rsidR="00781FC0" w:rsidRPr="009E74AA" w:rsidRDefault="00781FC0" w:rsidP="008641E2">
            <w:pPr>
              <w:rPr>
                <w:rFonts w:ascii="Times New Roman" w:hAnsi="Times New Roman" w:cs="Times New Roman"/>
                <w:lang w:val="en-GB"/>
              </w:rPr>
            </w:pPr>
          </w:p>
          <w:p w14:paraId="3F183BDE" w14:textId="77777777" w:rsidR="00781FC0" w:rsidRPr="009E74AA" w:rsidRDefault="00781FC0" w:rsidP="008641E2">
            <w:pPr>
              <w:rPr>
                <w:rFonts w:ascii="Times New Roman" w:hAnsi="Times New Roman" w:cs="Times New Roman"/>
                <w:lang w:val="en-GB"/>
              </w:rPr>
            </w:pPr>
          </w:p>
          <w:p w14:paraId="475115EB" w14:textId="77777777" w:rsidR="00781FC0" w:rsidRPr="009E74AA" w:rsidRDefault="00781FC0" w:rsidP="008641E2">
            <w:pPr>
              <w:rPr>
                <w:rFonts w:ascii="Times New Roman" w:hAnsi="Times New Roman" w:cs="Times New Roman"/>
                <w:lang w:val="en-GB"/>
              </w:rPr>
            </w:pPr>
          </w:p>
          <w:p w14:paraId="21B4D064" w14:textId="77777777" w:rsidR="00781FC0" w:rsidRPr="009E74AA" w:rsidRDefault="00781FC0" w:rsidP="008641E2">
            <w:pPr>
              <w:rPr>
                <w:rFonts w:ascii="Times New Roman" w:hAnsi="Times New Roman" w:cs="Times New Roman"/>
                <w:lang w:val="en-GB"/>
              </w:rPr>
            </w:pPr>
          </w:p>
          <w:p w14:paraId="35A46909" w14:textId="77777777" w:rsidR="00781FC0" w:rsidRPr="009E74AA" w:rsidRDefault="00781FC0" w:rsidP="008641E2">
            <w:pPr>
              <w:rPr>
                <w:rFonts w:ascii="Times New Roman" w:hAnsi="Times New Roman" w:cs="Times New Roman"/>
                <w:lang w:val="en-GB"/>
              </w:rPr>
            </w:pPr>
          </w:p>
          <w:p w14:paraId="5D4DCB0C" w14:textId="77777777" w:rsidR="00781FC0" w:rsidRPr="009E74AA" w:rsidRDefault="00781FC0" w:rsidP="008641E2">
            <w:pPr>
              <w:rPr>
                <w:rFonts w:ascii="Times New Roman" w:hAnsi="Times New Roman" w:cs="Times New Roman"/>
                <w:lang w:val="en-GB"/>
              </w:rPr>
            </w:pPr>
          </w:p>
          <w:p w14:paraId="43235A02" w14:textId="77777777" w:rsidR="00781FC0" w:rsidRPr="009E74AA" w:rsidRDefault="00781FC0" w:rsidP="008641E2">
            <w:pPr>
              <w:rPr>
                <w:rFonts w:ascii="Times New Roman" w:hAnsi="Times New Roman" w:cs="Times New Roman"/>
                <w:lang w:val="en-GB"/>
              </w:rPr>
            </w:pPr>
          </w:p>
          <w:p w14:paraId="57DD5B12" w14:textId="0C736CD8" w:rsidR="00781FC0" w:rsidRPr="009E74AA" w:rsidRDefault="00781FC0" w:rsidP="008641E2">
            <w:pPr>
              <w:rPr>
                <w:rFonts w:ascii="Times New Roman" w:hAnsi="Times New Roman" w:cs="Times New Roman"/>
                <w:lang w:val="en-GB"/>
              </w:rPr>
            </w:pPr>
          </w:p>
        </w:tc>
        <w:tc>
          <w:tcPr>
            <w:tcW w:w="3227" w:type="dxa"/>
          </w:tcPr>
          <w:p w14:paraId="61FB9CE0" w14:textId="3D3A38A9" w:rsidR="00781FC0" w:rsidRPr="009E74AA" w:rsidRDefault="0014051F" w:rsidP="008641E2">
            <w:pPr>
              <w:rPr>
                <w:rFonts w:ascii="Times New Roman" w:hAnsi="Times New Roman" w:cs="Times New Roman"/>
                <w:lang w:val="en-GB"/>
              </w:rPr>
            </w:pPr>
            <w:r w:rsidRPr="009E74AA">
              <w:rPr>
                <w:rFonts w:ascii="Times New Roman" w:hAnsi="Times New Roman" w:cs="Times New Roman"/>
                <w:lang w:val="en-GB"/>
              </w:rPr>
              <w:lastRenderedPageBreak/>
              <w:t>What progress has been achieved in the attainment of the Programme‘s objectives?</w:t>
            </w:r>
          </w:p>
        </w:tc>
        <w:tc>
          <w:tcPr>
            <w:tcW w:w="9581" w:type="dxa"/>
          </w:tcPr>
          <w:p w14:paraId="07E7B6BC" w14:textId="041C8B0F" w:rsidR="00BC614F" w:rsidRPr="009E74AA" w:rsidRDefault="00BC614F" w:rsidP="002956B5">
            <w:pPr>
              <w:rPr>
                <w:rFonts w:ascii="Times New Roman" w:hAnsi="Times New Roman" w:cs="Times New Roman"/>
                <w:lang w:val="en-GB"/>
              </w:rPr>
            </w:pPr>
            <w:r w:rsidRPr="009E74AA">
              <w:rPr>
                <w:rFonts w:ascii="Times New Roman" w:hAnsi="Times New Roman" w:cs="Times New Roman"/>
                <w:lang w:val="en-GB"/>
              </w:rPr>
              <w:t xml:space="preserve">- Implementation of all </w:t>
            </w:r>
            <w:r w:rsidR="009E74AA" w:rsidRPr="009E74AA">
              <w:rPr>
                <w:rFonts w:ascii="Times New Roman" w:hAnsi="Times New Roman" w:cs="Times New Roman"/>
                <w:lang w:val="en-GB"/>
              </w:rPr>
              <w:t>actions</w:t>
            </w:r>
            <w:r w:rsidRPr="009E74AA">
              <w:rPr>
                <w:rFonts w:ascii="Times New Roman" w:hAnsi="Times New Roman" w:cs="Times New Roman"/>
                <w:lang w:val="en-GB"/>
              </w:rPr>
              <w:t xml:space="preserve"> under the Programme has been started according to all relevant objectives and type of intervention measures, except in cases where in the planning process the commencement of actions had been set at a later date;</w:t>
            </w:r>
          </w:p>
          <w:p w14:paraId="2B407B4B" w14:textId="77777777" w:rsidR="00BC614F" w:rsidRPr="009E74AA" w:rsidRDefault="00BC614F" w:rsidP="002956B5">
            <w:pPr>
              <w:rPr>
                <w:rFonts w:ascii="Times New Roman" w:hAnsi="Times New Roman" w:cs="Times New Roman"/>
                <w:lang w:val="en-GB"/>
              </w:rPr>
            </w:pPr>
            <w:r w:rsidRPr="009E74AA">
              <w:rPr>
                <w:rFonts w:ascii="Times New Roman" w:hAnsi="Times New Roman" w:cs="Times New Roman"/>
                <w:lang w:val="en-GB"/>
              </w:rPr>
              <w:t>- Early progress in the achievement of interim and final targets having regard to the moment of the Programme’s approval is according to expectations;</w:t>
            </w:r>
          </w:p>
          <w:p w14:paraId="5008B26C" w14:textId="1687A9C4" w:rsidR="00BC614F" w:rsidRPr="00D531AE" w:rsidRDefault="00BC614F" w:rsidP="002956B5">
            <w:pPr>
              <w:rPr>
                <w:rFonts w:ascii="Times New Roman" w:hAnsi="Times New Roman" w:cs="Times New Roman"/>
              </w:rPr>
            </w:pPr>
            <w:r w:rsidRPr="009E74AA">
              <w:rPr>
                <w:rFonts w:ascii="Times New Roman" w:hAnsi="Times New Roman" w:cs="Times New Roman"/>
                <w:lang w:val="en-GB"/>
              </w:rPr>
              <w:lastRenderedPageBreak/>
              <w:t>- Challenges that influence implementation of the Programme’s objectives and progress have be</w:t>
            </w:r>
            <w:r w:rsidR="005A6DBF">
              <w:rPr>
                <w:rFonts w:ascii="Times New Roman" w:hAnsi="Times New Roman" w:cs="Times New Roman"/>
                <w:lang w:val="en-GB"/>
              </w:rPr>
              <w:t>e</w:t>
            </w:r>
            <w:r w:rsidRPr="009E74AA">
              <w:rPr>
                <w:rFonts w:ascii="Times New Roman" w:hAnsi="Times New Roman" w:cs="Times New Roman"/>
                <w:lang w:val="en-GB"/>
              </w:rPr>
              <w:t>n properly set and linked to efficient plans on overcoming them;</w:t>
            </w:r>
          </w:p>
          <w:p w14:paraId="50C4A963" w14:textId="6C7E94C9" w:rsidR="00BC614F" w:rsidRPr="009E74AA" w:rsidRDefault="00BC614F" w:rsidP="002956B5">
            <w:pPr>
              <w:rPr>
                <w:rFonts w:ascii="Times New Roman" w:hAnsi="Times New Roman" w:cs="Times New Roman"/>
                <w:lang w:val="en-GB"/>
              </w:rPr>
            </w:pPr>
            <w:r w:rsidRPr="009E74AA">
              <w:rPr>
                <w:rFonts w:ascii="Times New Roman" w:hAnsi="Times New Roman" w:cs="Times New Roman"/>
                <w:lang w:val="en-GB"/>
              </w:rPr>
              <w:t>- The Programme supports</w:t>
            </w:r>
            <w:r w:rsidR="00DC1D8B" w:rsidRPr="009E74AA">
              <w:rPr>
                <w:rFonts w:ascii="Times New Roman" w:hAnsi="Times New Roman" w:cs="Times New Roman"/>
                <w:lang w:val="en-GB"/>
              </w:rPr>
              <w:t xml:space="preserve"> those types of intervention measures and actions that, according to av</w:t>
            </w:r>
            <w:r w:rsidR="00811ADB" w:rsidRPr="009E74AA">
              <w:rPr>
                <w:rFonts w:ascii="Times New Roman" w:hAnsi="Times New Roman" w:cs="Times New Roman"/>
                <w:lang w:val="en-GB"/>
              </w:rPr>
              <w:t>a</w:t>
            </w:r>
            <w:r w:rsidR="00DC1D8B" w:rsidRPr="009E74AA">
              <w:rPr>
                <w:rFonts w:ascii="Times New Roman" w:hAnsi="Times New Roman" w:cs="Times New Roman"/>
                <w:lang w:val="en-GB"/>
              </w:rPr>
              <w:t xml:space="preserve">ilable evidence, are known as efficient (including </w:t>
            </w:r>
            <w:proofErr w:type="gramStart"/>
            <w:r w:rsidR="00DC1D8B" w:rsidRPr="009E74AA">
              <w:rPr>
                <w:rFonts w:ascii="Times New Roman" w:hAnsi="Times New Roman" w:cs="Times New Roman"/>
                <w:lang w:val="en-GB"/>
              </w:rPr>
              <w:t>e. g</w:t>
            </w:r>
            <w:proofErr w:type="gramEnd"/>
            <w:r w:rsidR="00DC1D8B" w:rsidRPr="009E74AA">
              <w:rPr>
                <w:rFonts w:ascii="Times New Roman" w:hAnsi="Times New Roman" w:cs="Times New Roman"/>
                <w:lang w:val="en-GB"/>
              </w:rPr>
              <w:t>. academic literature</w:t>
            </w:r>
            <w:r w:rsidR="00602E4A" w:rsidRPr="009E74AA">
              <w:rPr>
                <w:rFonts w:ascii="Times New Roman" w:hAnsi="Times New Roman" w:cs="Times New Roman"/>
                <w:lang w:val="en-GB"/>
              </w:rPr>
              <w:t>, ex-post evaluation of previous programmes</w:t>
            </w:r>
            <w:r w:rsidR="005031C1">
              <w:rPr>
                <w:rFonts w:ascii="Times New Roman" w:hAnsi="Times New Roman" w:cs="Times New Roman"/>
                <w:lang w:val="en-GB"/>
              </w:rPr>
              <w:t>,</w:t>
            </w:r>
            <w:r w:rsidR="00602E4A" w:rsidRPr="009E74AA">
              <w:rPr>
                <w:rFonts w:ascii="Times New Roman" w:hAnsi="Times New Roman" w:cs="Times New Roman"/>
                <w:lang w:val="en-GB"/>
              </w:rPr>
              <w:t xml:space="preserve"> etc.);</w:t>
            </w:r>
          </w:p>
          <w:p w14:paraId="6429030A" w14:textId="4D88EA35" w:rsidR="00602E4A" w:rsidRPr="009E74AA" w:rsidRDefault="00602E4A" w:rsidP="002956B5">
            <w:pPr>
              <w:rPr>
                <w:rFonts w:ascii="Times New Roman" w:hAnsi="Times New Roman" w:cs="Times New Roman"/>
                <w:lang w:val="en-GB"/>
              </w:rPr>
            </w:pPr>
            <w:r w:rsidRPr="009E74AA">
              <w:rPr>
                <w:rFonts w:ascii="Times New Roman" w:hAnsi="Times New Roman" w:cs="Times New Roman"/>
                <w:lang w:val="en-GB"/>
              </w:rPr>
              <w:t xml:space="preserve">- </w:t>
            </w:r>
            <w:r w:rsidR="005031C1">
              <w:rPr>
                <w:rFonts w:ascii="Times New Roman" w:hAnsi="Times New Roman" w:cs="Times New Roman"/>
                <w:lang w:val="en-GB"/>
              </w:rPr>
              <w:t>A</w:t>
            </w:r>
            <w:r w:rsidRPr="009E74AA">
              <w:rPr>
                <w:rFonts w:ascii="Times New Roman" w:hAnsi="Times New Roman" w:cs="Times New Roman"/>
                <w:lang w:val="en-GB"/>
              </w:rPr>
              <w:t>vailable best practices are relied on in the implementation of the Programme where applicable;</w:t>
            </w:r>
          </w:p>
          <w:p w14:paraId="1F405DD4" w14:textId="00A8237A" w:rsidR="00602E4A" w:rsidRPr="009E74AA" w:rsidRDefault="00602E4A" w:rsidP="002956B5">
            <w:pPr>
              <w:rPr>
                <w:rFonts w:ascii="Times New Roman" w:hAnsi="Times New Roman" w:cs="Times New Roman"/>
                <w:lang w:val="en-GB"/>
              </w:rPr>
            </w:pPr>
            <w:r w:rsidRPr="009E74AA">
              <w:rPr>
                <w:rFonts w:ascii="Times New Roman" w:hAnsi="Times New Roman" w:cs="Times New Roman"/>
                <w:lang w:val="en-GB"/>
              </w:rPr>
              <w:t>- ...</w:t>
            </w:r>
          </w:p>
        </w:tc>
      </w:tr>
      <w:tr w:rsidR="00781FC0" w:rsidRPr="009E74AA" w14:paraId="7A332729" w14:textId="77777777" w:rsidTr="00B771E2">
        <w:tc>
          <w:tcPr>
            <w:tcW w:w="1646" w:type="dxa"/>
            <w:vMerge/>
            <w:shd w:val="clear" w:color="auto" w:fill="F2F2F2" w:themeFill="background1" w:themeFillShade="F2"/>
          </w:tcPr>
          <w:p w14:paraId="0651C48D" w14:textId="77777777" w:rsidR="00781FC0" w:rsidRPr="009E74AA" w:rsidRDefault="00781FC0" w:rsidP="008641E2">
            <w:pPr>
              <w:rPr>
                <w:rFonts w:ascii="Times New Roman" w:hAnsi="Times New Roman" w:cs="Times New Roman"/>
                <w:lang w:val="en-GB"/>
              </w:rPr>
            </w:pPr>
          </w:p>
        </w:tc>
        <w:tc>
          <w:tcPr>
            <w:tcW w:w="3227" w:type="dxa"/>
          </w:tcPr>
          <w:p w14:paraId="0C6BC5B8" w14:textId="60B60A07" w:rsidR="00781FC0" w:rsidRPr="009E74AA" w:rsidRDefault="0014051F" w:rsidP="00802EDE">
            <w:pPr>
              <w:rPr>
                <w:rFonts w:ascii="Times New Roman" w:hAnsi="Times New Roman" w:cs="Times New Roman"/>
                <w:lang w:val="en-GB"/>
              </w:rPr>
            </w:pPr>
            <w:r w:rsidRPr="009E74AA">
              <w:rPr>
                <w:rFonts w:ascii="Times New Roman" w:hAnsi="Times New Roman" w:cs="Times New Roman"/>
                <w:lang w:val="en-GB"/>
              </w:rPr>
              <w:t>To what extent the monitoring and evaluation system is suitable for informing about progress in the attainment of the Programme‘s objectives?</w:t>
            </w:r>
          </w:p>
        </w:tc>
        <w:tc>
          <w:tcPr>
            <w:tcW w:w="9581" w:type="dxa"/>
          </w:tcPr>
          <w:p w14:paraId="465E7BF3" w14:textId="0D76BFEC" w:rsidR="00602E4A" w:rsidRPr="009E74AA" w:rsidRDefault="00602E4A" w:rsidP="00D5753D">
            <w:pPr>
              <w:jc w:val="both"/>
              <w:rPr>
                <w:rFonts w:ascii="Times New Roman" w:hAnsi="Times New Roman" w:cs="Times New Roman"/>
                <w:lang w:val="en-GB"/>
              </w:rPr>
            </w:pPr>
            <w:r w:rsidRPr="009E74AA">
              <w:rPr>
                <w:rFonts w:ascii="Times New Roman" w:hAnsi="Times New Roman" w:cs="Times New Roman"/>
                <w:lang w:val="en-GB"/>
              </w:rPr>
              <w:t>-</w:t>
            </w:r>
            <w:r w:rsidR="00444EAE" w:rsidRPr="009E74AA">
              <w:rPr>
                <w:rFonts w:ascii="Times New Roman" w:hAnsi="Times New Roman" w:cs="Times New Roman"/>
                <w:lang w:val="en-GB"/>
              </w:rPr>
              <w:t xml:space="preserve"> </w:t>
            </w:r>
            <w:r w:rsidR="005031C1">
              <w:rPr>
                <w:rFonts w:ascii="Times New Roman" w:hAnsi="Times New Roman" w:cs="Times New Roman"/>
                <w:lang w:val="en-GB"/>
              </w:rPr>
              <w:t>A</w:t>
            </w:r>
            <w:r w:rsidR="00444EAE" w:rsidRPr="009E74AA">
              <w:rPr>
                <w:rFonts w:ascii="Times New Roman" w:hAnsi="Times New Roman" w:cs="Times New Roman"/>
                <w:lang w:val="en-GB"/>
              </w:rPr>
              <w:t xml:space="preserve"> system of electronic data </w:t>
            </w:r>
            <w:r w:rsidR="005031C1">
              <w:rPr>
                <w:rFonts w:ascii="Times New Roman" w:hAnsi="Times New Roman" w:cs="Times New Roman"/>
                <w:lang w:val="en-GB"/>
              </w:rPr>
              <w:t>ex</w:t>
            </w:r>
            <w:r w:rsidR="00444EAE" w:rsidRPr="009E74AA">
              <w:rPr>
                <w:rFonts w:ascii="Times New Roman" w:hAnsi="Times New Roman" w:cs="Times New Roman"/>
                <w:lang w:val="en-GB"/>
              </w:rPr>
              <w:t>change (between the Managing Authority, the Inter</w:t>
            </w:r>
            <w:r w:rsidR="00F13CAE" w:rsidRPr="009E74AA">
              <w:rPr>
                <w:rFonts w:ascii="Times New Roman" w:hAnsi="Times New Roman" w:cs="Times New Roman"/>
                <w:lang w:val="en-GB"/>
              </w:rPr>
              <w:t xml:space="preserve">mediate </w:t>
            </w:r>
            <w:r w:rsidR="00444EAE" w:rsidRPr="009E74AA">
              <w:rPr>
                <w:rFonts w:ascii="Times New Roman" w:hAnsi="Times New Roman" w:cs="Times New Roman"/>
                <w:lang w:val="en-GB"/>
              </w:rPr>
              <w:t>Body and the</w:t>
            </w:r>
            <w:r w:rsidR="005031C1">
              <w:rPr>
                <w:rFonts w:ascii="Times New Roman" w:hAnsi="Times New Roman" w:cs="Times New Roman"/>
                <w:lang w:val="en-GB"/>
              </w:rPr>
              <w:t xml:space="preserve"> final beneficiaries</w:t>
            </w:r>
            <w:r w:rsidR="00444EAE" w:rsidRPr="009E74AA">
              <w:rPr>
                <w:rFonts w:ascii="Times New Roman" w:hAnsi="Times New Roman" w:cs="Times New Roman"/>
                <w:lang w:val="en-GB"/>
              </w:rPr>
              <w:t>) for the data registration and storage in order to ensure the functioning of the monitoring and evaluation system;</w:t>
            </w:r>
          </w:p>
          <w:p w14:paraId="523EEF96" w14:textId="1FAD8AD7"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w:t>
            </w:r>
            <w:r w:rsidR="005031C1">
              <w:rPr>
                <w:rFonts w:ascii="Times New Roman" w:hAnsi="Times New Roman" w:cs="Times New Roman"/>
                <w:lang w:val="en-GB"/>
              </w:rPr>
              <w:t>P</w:t>
            </w:r>
            <w:r w:rsidRPr="009E74AA">
              <w:rPr>
                <w:rFonts w:ascii="Times New Roman" w:hAnsi="Times New Roman" w:cs="Times New Roman"/>
                <w:lang w:val="en-GB"/>
              </w:rPr>
              <w:t>articipants in the data provision process understand the data provision requirements and relevant training or information sessions are organised if necessary;</w:t>
            </w:r>
          </w:p>
          <w:p w14:paraId="3CBB8257" w14:textId="5FB4263B"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w:t>
            </w:r>
            <w:r w:rsidR="005031C1">
              <w:rPr>
                <w:rFonts w:ascii="Times New Roman" w:hAnsi="Times New Roman" w:cs="Times New Roman"/>
                <w:lang w:val="en-GB"/>
              </w:rPr>
              <w:t>R</w:t>
            </w:r>
            <w:r w:rsidRPr="009E74AA">
              <w:rPr>
                <w:rFonts w:ascii="Times New Roman" w:hAnsi="Times New Roman" w:cs="Times New Roman"/>
                <w:lang w:val="en-GB"/>
              </w:rPr>
              <w:t xml:space="preserve">eports on the product and outputs give a true view of the level of </w:t>
            </w:r>
            <w:r w:rsidR="009E74AA" w:rsidRPr="009E74AA">
              <w:rPr>
                <w:rFonts w:ascii="Times New Roman" w:hAnsi="Times New Roman" w:cs="Times New Roman"/>
                <w:lang w:val="en-GB"/>
              </w:rPr>
              <w:t>achievement</w:t>
            </w:r>
            <w:r w:rsidRPr="009E74AA">
              <w:rPr>
                <w:rFonts w:ascii="Times New Roman" w:hAnsi="Times New Roman" w:cs="Times New Roman"/>
                <w:lang w:val="en-GB"/>
              </w:rPr>
              <w:t xml:space="preserve"> of relevant indicators (the values reported are neither too low nor too high);</w:t>
            </w:r>
          </w:p>
          <w:p w14:paraId="62B5C97F" w14:textId="1D2B9441"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w:t>
            </w:r>
            <w:r w:rsidR="005031C1">
              <w:rPr>
                <w:rFonts w:ascii="Times New Roman" w:hAnsi="Times New Roman" w:cs="Times New Roman"/>
                <w:lang w:val="en-GB"/>
              </w:rPr>
              <w:t>T</w:t>
            </w:r>
            <w:r w:rsidRPr="009E74AA">
              <w:rPr>
                <w:rFonts w:ascii="Times New Roman" w:hAnsi="Times New Roman" w:cs="Times New Roman"/>
                <w:lang w:val="en-GB"/>
              </w:rPr>
              <w:t>he Programme’s actual indicator values reflect main achievements of the Programme that are in line with the Programme’s intervention logic;</w:t>
            </w:r>
          </w:p>
          <w:p w14:paraId="3156189D" w14:textId="2BE34DE4"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w:t>
            </w:r>
            <w:r w:rsidR="005031C1">
              <w:rPr>
                <w:rFonts w:ascii="Times New Roman" w:hAnsi="Times New Roman" w:cs="Times New Roman"/>
                <w:lang w:val="en-GB"/>
              </w:rPr>
              <w:t>I</w:t>
            </w:r>
            <w:r w:rsidRPr="009E74AA">
              <w:rPr>
                <w:rFonts w:ascii="Times New Roman" w:hAnsi="Times New Roman" w:cs="Times New Roman"/>
                <w:lang w:val="en-GB"/>
              </w:rPr>
              <w:t>ndicators of implementation of project activities are used to fill any gaps in the Programme’s indicators based on the Programme’s intervention logic;</w:t>
            </w:r>
          </w:p>
          <w:p w14:paraId="69AB5C1C" w14:textId="2D9F20BE"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w:t>
            </w:r>
            <w:r w:rsidR="005031C1">
              <w:rPr>
                <w:rFonts w:ascii="Times New Roman" w:hAnsi="Times New Roman" w:cs="Times New Roman"/>
                <w:lang w:val="en-GB"/>
              </w:rPr>
              <w:t>T</w:t>
            </w:r>
            <w:r w:rsidRPr="009E74AA">
              <w:rPr>
                <w:rFonts w:ascii="Times New Roman" w:hAnsi="Times New Roman" w:cs="Times New Roman"/>
                <w:lang w:val="en-GB"/>
              </w:rPr>
              <w:t>he data set stored constitutes sufficient evidence on the basis of which the need for financing can be assessed (i.e. an impact with a clear causal relationship is assigned to the Programme);</w:t>
            </w:r>
          </w:p>
          <w:p w14:paraId="32296C79" w14:textId="63A79C32"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w:t>
            </w:r>
          </w:p>
        </w:tc>
      </w:tr>
      <w:tr w:rsidR="00781FC0" w:rsidRPr="009E74AA" w14:paraId="3F9D2C54" w14:textId="77777777" w:rsidTr="00B771E2">
        <w:tc>
          <w:tcPr>
            <w:tcW w:w="1646" w:type="dxa"/>
            <w:vMerge/>
            <w:shd w:val="clear" w:color="auto" w:fill="F2F2F2" w:themeFill="background1" w:themeFillShade="F2"/>
          </w:tcPr>
          <w:p w14:paraId="17723B7F" w14:textId="77777777" w:rsidR="00781FC0" w:rsidRPr="009E74AA" w:rsidRDefault="00781FC0" w:rsidP="008641E2">
            <w:pPr>
              <w:rPr>
                <w:rFonts w:ascii="Times New Roman" w:hAnsi="Times New Roman" w:cs="Times New Roman"/>
                <w:lang w:val="en-GB"/>
              </w:rPr>
            </w:pPr>
          </w:p>
        </w:tc>
        <w:tc>
          <w:tcPr>
            <w:tcW w:w="3227" w:type="dxa"/>
          </w:tcPr>
          <w:p w14:paraId="14612452" w14:textId="49947E17" w:rsidR="00781FC0" w:rsidRPr="009E74AA" w:rsidRDefault="0014051F" w:rsidP="006F5861">
            <w:pPr>
              <w:rPr>
                <w:rFonts w:ascii="Times New Roman" w:hAnsi="Times New Roman" w:cs="Times New Roman"/>
                <w:lang w:val="en-GB"/>
              </w:rPr>
            </w:pPr>
            <w:r w:rsidRPr="009E74AA">
              <w:rPr>
                <w:rFonts w:ascii="Times New Roman" w:hAnsi="Times New Roman" w:cs="Times New Roman"/>
                <w:lang w:val="en-GB"/>
              </w:rPr>
              <w:t>How is participation of relevant partners in the programming, implementation, monitoring and evaluation phases ensured?</w:t>
            </w:r>
          </w:p>
        </w:tc>
        <w:tc>
          <w:tcPr>
            <w:tcW w:w="9581" w:type="dxa"/>
          </w:tcPr>
          <w:p w14:paraId="77181316" w14:textId="01B4648D"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A strategy is in place for identification, informing and reaching most </w:t>
            </w:r>
            <w:r w:rsidR="009E74AA" w:rsidRPr="009E74AA">
              <w:rPr>
                <w:rFonts w:ascii="Times New Roman" w:hAnsi="Times New Roman" w:cs="Times New Roman"/>
                <w:lang w:val="en-GB"/>
              </w:rPr>
              <w:t>suitable</w:t>
            </w:r>
            <w:r w:rsidRPr="009E74AA">
              <w:rPr>
                <w:rFonts w:ascii="Times New Roman" w:hAnsi="Times New Roman" w:cs="Times New Roman"/>
                <w:lang w:val="en-GB"/>
              </w:rPr>
              <w:t xml:space="preserve"> partners and ensuring that they are represented in the Monitoring Committee;</w:t>
            </w:r>
          </w:p>
          <w:p w14:paraId="41AC24F8" w14:textId="7FDC56BF"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Relevant partners were </w:t>
            </w:r>
            <w:r w:rsidR="009E74AA" w:rsidRPr="009E74AA">
              <w:rPr>
                <w:rFonts w:ascii="Times New Roman" w:hAnsi="Times New Roman" w:cs="Times New Roman"/>
                <w:lang w:val="en-GB"/>
              </w:rPr>
              <w:t>identified</w:t>
            </w:r>
            <w:r w:rsidRPr="009E74AA">
              <w:rPr>
                <w:rFonts w:ascii="Times New Roman" w:hAnsi="Times New Roman" w:cs="Times New Roman"/>
                <w:lang w:val="en-GB"/>
              </w:rPr>
              <w:t xml:space="preserve"> and involved in the programming phase;</w:t>
            </w:r>
          </w:p>
          <w:p w14:paraId="7EFF7E0F" w14:textId="488AA996"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xml:space="preserve">- Relevant partners take part in the Monitoring Committee as defined in the relevant </w:t>
            </w:r>
            <w:r w:rsidR="009E74AA" w:rsidRPr="009E74AA">
              <w:rPr>
                <w:rFonts w:ascii="Times New Roman" w:hAnsi="Times New Roman" w:cs="Times New Roman"/>
                <w:lang w:val="en-GB"/>
              </w:rPr>
              <w:t>procedures</w:t>
            </w:r>
            <w:r w:rsidRPr="009E74AA">
              <w:rPr>
                <w:rFonts w:ascii="Times New Roman" w:hAnsi="Times New Roman" w:cs="Times New Roman"/>
                <w:lang w:val="en-GB"/>
              </w:rPr>
              <w:t xml:space="preserve"> of the Monitoring Committee;</w:t>
            </w:r>
          </w:p>
          <w:p w14:paraId="1CD8AE80" w14:textId="77777777"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 A procedure permitting the partners to take part in all phases of the Programme‘s cycle is in place;</w:t>
            </w:r>
          </w:p>
          <w:p w14:paraId="6DBB2591" w14:textId="47C90AE0" w:rsidR="00444EAE" w:rsidRPr="009E74AA" w:rsidRDefault="00444EAE" w:rsidP="00D5753D">
            <w:pPr>
              <w:jc w:val="both"/>
              <w:rPr>
                <w:rFonts w:ascii="Times New Roman" w:hAnsi="Times New Roman" w:cs="Times New Roman"/>
                <w:lang w:val="en-GB"/>
              </w:rPr>
            </w:pPr>
            <w:r w:rsidRPr="009E74AA">
              <w:rPr>
                <w:rFonts w:ascii="Times New Roman" w:hAnsi="Times New Roman" w:cs="Times New Roman"/>
                <w:lang w:val="en-GB"/>
              </w:rPr>
              <w:t>-...</w:t>
            </w:r>
          </w:p>
        </w:tc>
      </w:tr>
      <w:tr w:rsidR="00781FC0" w:rsidRPr="009E74AA" w14:paraId="064AA254" w14:textId="77777777" w:rsidTr="00B771E2">
        <w:tc>
          <w:tcPr>
            <w:tcW w:w="1646" w:type="dxa"/>
            <w:vMerge/>
            <w:shd w:val="clear" w:color="auto" w:fill="F2F2F2" w:themeFill="background1" w:themeFillShade="F2"/>
          </w:tcPr>
          <w:p w14:paraId="4933835D" w14:textId="77777777" w:rsidR="00781FC0" w:rsidRPr="009E74AA" w:rsidRDefault="00781FC0" w:rsidP="008641E2">
            <w:pPr>
              <w:rPr>
                <w:rFonts w:ascii="Times New Roman" w:hAnsi="Times New Roman" w:cs="Times New Roman"/>
                <w:lang w:val="en-GB"/>
              </w:rPr>
            </w:pPr>
          </w:p>
        </w:tc>
        <w:tc>
          <w:tcPr>
            <w:tcW w:w="3227" w:type="dxa"/>
          </w:tcPr>
          <w:p w14:paraId="584367BE" w14:textId="23EC8B40" w:rsidR="00781FC0" w:rsidRPr="009E74AA" w:rsidRDefault="0014051F" w:rsidP="00D5753D">
            <w:pPr>
              <w:rPr>
                <w:rFonts w:ascii="Times New Roman" w:hAnsi="Times New Roman" w:cs="Times New Roman"/>
                <w:lang w:val="en-GB"/>
              </w:rPr>
            </w:pPr>
            <w:r w:rsidRPr="009E74AA">
              <w:rPr>
                <w:rFonts w:ascii="Times New Roman" w:hAnsi="Times New Roman" w:cs="Times New Roman"/>
                <w:lang w:val="en-GB"/>
              </w:rPr>
              <w:t>To what extent the Programme‘s implementation does not contradict or promote implementation of horizontal principles?</w:t>
            </w:r>
          </w:p>
        </w:tc>
        <w:tc>
          <w:tcPr>
            <w:tcW w:w="9581" w:type="dxa"/>
          </w:tcPr>
          <w:p w14:paraId="77D93150" w14:textId="25569116" w:rsidR="00F26581" w:rsidRPr="009E74AA" w:rsidRDefault="00F26581" w:rsidP="00D5753D">
            <w:pPr>
              <w:jc w:val="both"/>
              <w:rPr>
                <w:rFonts w:ascii="Times New Roman" w:hAnsi="Times New Roman" w:cs="Times New Roman"/>
                <w:lang w:val="en-GB"/>
              </w:rPr>
            </w:pPr>
            <w:r w:rsidRPr="009E74AA">
              <w:rPr>
                <w:rFonts w:ascii="Times New Roman" w:hAnsi="Times New Roman" w:cs="Times New Roman"/>
                <w:lang w:val="en-GB"/>
              </w:rPr>
              <w:t xml:space="preserve">- </w:t>
            </w:r>
            <w:r w:rsidR="00D0064D" w:rsidRPr="009E74AA">
              <w:rPr>
                <w:rFonts w:ascii="Times New Roman" w:hAnsi="Times New Roman" w:cs="Times New Roman"/>
                <w:lang w:val="en-GB"/>
              </w:rPr>
              <w:t>Appropriate organisational and procedural measures are in place to ensure that implementation of the Programme complies with the EU Charter of Fundamental Rights (Article 9(1) of the Regulation);</w:t>
            </w:r>
          </w:p>
          <w:p w14:paraId="7572C5DD" w14:textId="77777777" w:rsidR="00D0064D" w:rsidRPr="009E74AA" w:rsidRDefault="00D0064D" w:rsidP="00D5753D">
            <w:pPr>
              <w:jc w:val="both"/>
              <w:rPr>
                <w:rFonts w:ascii="Times New Roman" w:hAnsi="Times New Roman" w:cs="Times New Roman"/>
                <w:lang w:val="en-GB"/>
              </w:rPr>
            </w:pPr>
            <w:r w:rsidRPr="009E74AA">
              <w:rPr>
                <w:rFonts w:ascii="Times New Roman" w:hAnsi="Times New Roman" w:cs="Times New Roman"/>
                <w:lang w:val="en-GB"/>
              </w:rPr>
              <w:t>- Appropriate organisational and procedural measures are in place to ensure that in all phases of the Programme‘s preparation, implementation, monitoring, reporting and evaluation proper actions are taken that do not contradict to and/or promote gender equality and gender mainstreaming (Article 9(2) of the Regulation);</w:t>
            </w:r>
          </w:p>
          <w:p w14:paraId="05224F09" w14:textId="406F7234" w:rsidR="00D0064D" w:rsidRPr="009E74AA" w:rsidRDefault="00D0064D" w:rsidP="00D0064D">
            <w:pPr>
              <w:jc w:val="both"/>
              <w:rPr>
                <w:rFonts w:ascii="Times New Roman" w:hAnsi="Times New Roman" w:cs="Times New Roman"/>
                <w:lang w:val="en-GB"/>
              </w:rPr>
            </w:pPr>
            <w:r w:rsidRPr="009E74AA">
              <w:rPr>
                <w:rFonts w:ascii="Times New Roman" w:hAnsi="Times New Roman" w:cs="Times New Roman"/>
                <w:lang w:val="en-GB"/>
              </w:rPr>
              <w:t xml:space="preserve">- Appropriate organisational and procedural measures are in place to enable </w:t>
            </w:r>
            <w:r w:rsidR="009E74AA" w:rsidRPr="009E74AA">
              <w:rPr>
                <w:rFonts w:ascii="Times New Roman" w:hAnsi="Times New Roman" w:cs="Times New Roman"/>
                <w:lang w:val="en-GB"/>
              </w:rPr>
              <w:t>appropriate</w:t>
            </w:r>
            <w:r w:rsidRPr="009E74AA">
              <w:rPr>
                <w:rFonts w:ascii="Times New Roman" w:hAnsi="Times New Roman" w:cs="Times New Roman"/>
                <w:lang w:val="en-GB"/>
              </w:rPr>
              <w:t xml:space="preserve"> actions preventing discrimination on any grounds and in all phases of the programming cycle (Article 9(3) of the Regulation);</w:t>
            </w:r>
          </w:p>
          <w:p w14:paraId="4E6FD8CD" w14:textId="77777777" w:rsidR="00D0064D" w:rsidRPr="009E74AA" w:rsidRDefault="00D0064D" w:rsidP="00D5753D">
            <w:pPr>
              <w:jc w:val="both"/>
              <w:rPr>
                <w:rFonts w:ascii="Times New Roman" w:hAnsi="Times New Roman" w:cs="Times New Roman"/>
                <w:lang w:val="en-GB"/>
              </w:rPr>
            </w:pPr>
            <w:r w:rsidRPr="009E74AA">
              <w:rPr>
                <w:rFonts w:ascii="Times New Roman" w:hAnsi="Times New Roman" w:cs="Times New Roman"/>
                <w:lang w:val="en-GB"/>
              </w:rPr>
              <w:lastRenderedPageBreak/>
              <w:t>- Appropriate measures are in place to ensure that implementation of the Programme is in line with the objective of promoting sustainable development as set out in Article 11 TFEU, taking into account the UN Sustainable Development Goals, the Paris Agreement and the "do no significant harm" principle (Article 9(4) of the Regulation)</w:t>
            </w:r>
            <w:r w:rsidR="00B67124" w:rsidRPr="009E74AA">
              <w:rPr>
                <w:rFonts w:ascii="Times New Roman" w:hAnsi="Times New Roman" w:cs="Times New Roman"/>
                <w:lang w:val="en-GB"/>
              </w:rPr>
              <w:t>;</w:t>
            </w:r>
          </w:p>
          <w:p w14:paraId="2CEFCAFA" w14:textId="306D3C04" w:rsidR="00B67124" w:rsidRPr="009E74AA" w:rsidRDefault="00B67124" w:rsidP="00D5753D">
            <w:pPr>
              <w:jc w:val="both"/>
              <w:rPr>
                <w:rFonts w:ascii="Times New Roman" w:hAnsi="Times New Roman" w:cs="Times New Roman"/>
                <w:lang w:val="en-GB"/>
              </w:rPr>
            </w:pPr>
            <w:r w:rsidRPr="009E74AA">
              <w:rPr>
                <w:rFonts w:ascii="Times New Roman" w:hAnsi="Times New Roman" w:cs="Times New Roman"/>
                <w:lang w:val="en-GB"/>
              </w:rPr>
              <w:t>-....</w:t>
            </w:r>
          </w:p>
        </w:tc>
      </w:tr>
      <w:tr w:rsidR="00605A55" w:rsidRPr="009E74AA" w14:paraId="349D6378" w14:textId="77777777" w:rsidTr="00411A6C">
        <w:trPr>
          <w:trHeight w:val="562"/>
        </w:trPr>
        <w:tc>
          <w:tcPr>
            <w:tcW w:w="1646" w:type="dxa"/>
            <w:vMerge/>
            <w:shd w:val="clear" w:color="auto" w:fill="F2F2F2" w:themeFill="background1" w:themeFillShade="F2"/>
          </w:tcPr>
          <w:p w14:paraId="09AAA6D6" w14:textId="643741F8" w:rsidR="00605A55" w:rsidRPr="009E74AA" w:rsidRDefault="00605A55" w:rsidP="008641E2">
            <w:pPr>
              <w:rPr>
                <w:rFonts w:ascii="Times New Roman" w:hAnsi="Times New Roman" w:cs="Times New Roman"/>
                <w:lang w:val="en-GB"/>
              </w:rPr>
            </w:pPr>
          </w:p>
        </w:tc>
        <w:tc>
          <w:tcPr>
            <w:tcW w:w="3227" w:type="dxa"/>
          </w:tcPr>
          <w:p w14:paraId="72CF17A3" w14:textId="60D9BE84" w:rsidR="00605A55" w:rsidRPr="009E74AA" w:rsidRDefault="00F57B8E" w:rsidP="00236DFB">
            <w:pPr>
              <w:rPr>
                <w:rFonts w:ascii="Times New Roman" w:hAnsi="Times New Roman" w:cs="Times New Roman"/>
                <w:lang w:val="en-GB"/>
              </w:rPr>
            </w:pPr>
            <w:r w:rsidRPr="009E74AA">
              <w:rPr>
                <w:rFonts w:ascii="Times New Roman" w:hAnsi="Times New Roman" w:cs="Times New Roman"/>
                <w:lang w:val="en-GB"/>
              </w:rPr>
              <w:t xml:space="preserve">To what extent the Programme is efficient in </w:t>
            </w:r>
            <w:r w:rsidR="00B67124" w:rsidRPr="009E74AA">
              <w:rPr>
                <w:rFonts w:ascii="Times New Roman" w:hAnsi="Times New Roman" w:cs="Times New Roman"/>
                <w:lang w:val="en-GB"/>
              </w:rPr>
              <w:t xml:space="preserve">the </w:t>
            </w:r>
            <w:r w:rsidRPr="009E74AA">
              <w:rPr>
                <w:rFonts w:ascii="Times New Roman" w:hAnsi="Times New Roman" w:cs="Times New Roman"/>
                <w:lang w:val="en-GB"/>
              </w:rPr>
              <w:t>communication of financing opportunities and results achieved?</w:t>
            </w:r>
          </w:p>
        </w:tc>
        <w:tc>
          <w:tcPr>
            <w:tcW w:w="9581" w:type="dxa"/>
          </w:tcPr>
          <w:p w14:paraId="6125485C" w14:textId="77777777" w:rsidR="00B67124" w:rsidRPr="009E74AA" w:rsidRDefault="00B67124" w:rsidP="00E73535">
            <w:pPr>
              <w:jc w:val="both"/>
              <w:rPr>
                <w:rFonts w:ascii="Times New Roman" w:hAnsi="Times New Roman" w:cs="Times New Roman"/>
                <w:lang w:val="en-GB"/>
              </w:rPr>
            </w:pPr>
            <w:r w:rsidRPr="009E74AA">
              <w:rPr>
                <w:rFonts w:ascii="Times New Roman" w:hAnsi="Times New Roman" w:cs="Times New Roman"/>
                <w:lang w:val="en-GB"/>
              </w:rPr>
              <w:t xml:space="preserve">- Communication activities reach the target audience and are carried out by </w:t>
            </w:r>
            <w:r w:rsidR="00811ADB" w:rsidRPr="009E74AA">
              <w:rPr>
                <w:rFonts w:ascii="Times New Roman" w:hAnsi="Times New Roman" w:cs="Times New Roman"/>
                <w:lang w:val="en-GB"/>
              </w:rPr>
              <w:t>properly combining communications channels and platforms including mass media;</w:t>
            </w:r>
          </w:p>
          <w:p w14:paraId="655AA327" w14:textId="00D8FAA1" w:rsidR="00811ADB" w:rsidRPr="009E74AA" w:rsidRDefault="00811ADB" w:rsidP="00E73535">
            <w:pPr>
              <w:jc w:val="both"/>
              <w:rPr>
                <w:rFonts w:ascii="Times New Roman" w:hAnsi="Times New Roman" w:cs="Times New Roman"/>
                <w:lang w:val="en-GB"/>
              </w:rPr>
            </w:pPr>
            <w:r w:rsidRPr="009E74AA">
              <w:rPr>
                <w:rFonts w:ascii="Times New Roman" w:hAnsi="Times New Roman" w:cs="Times New Roman"/>
                <w:lang w:val="en-GB"/>
              </w:rPr>
              <w:t xml:space="preserve">- Financing opportunities are properly advertised and reach the target group of potential </w:t>
            </w:r>
            <w:r w:rsidR="009E74AA" w:rsidRPr="009E74AA">
              <w:rPr>
                <w:rFonts w:ascii="Times New Roman" w:hAnsi="Times New Roman" w:cs="Times New Roman"/>
                <w:lang w:val="en-GB"/>
              </w:rPr>
              <w:t>beneficiaries</w:t>
            </w:r>
            <w:r w:rsidRPr="009E74AA">
              <w:rPr>
                <w:rFonts w:ascii="Times New Roman" w:hAnsi="Times New Roman" w:cs="Times New Roman"/>
                <w:lang w:val="en-GB"/>
              </w:rPr>
              <w:t>;</w:t>
            </w:r>
          </w:p>
          <w:p w14:paraId="0DCAB564" w14:textId="1A8C7C78" w:rsidR="00811ADB" w:rsidRPr="009E74AA" w:rsidRDefault="00811ADB" w:rsidP="00236DFB">
            <w:pPr>
              <w:rPr>
                <w:rFonts w:ascii="Times New Roman" w:hAnsi="Times New Roman" w:cs="Times New Roman"/>
                <w:lang w:val="en-GB"/>
              </w:rPr>
            </w:pPr>
            <w:r w:rsidRPr="009E74AA">
              <w:rPr>
                <w:rFonts w:ascii="Times New Roman" w:hAnsi="Times New Roman" w:cs="Times New Roman"/>
                <w:lang w:val="en-GB"/>
              </w:rPr>
              <w:t>- ...</w:t>
            </w:r>
          </w:p>
        </w:tc>
      </w:tr>
      <w:tr w:rsidR="00605A55" w:rsidRPr="009E74AA" w14:paraId="153009F5" w14:textId="77777777" w:rsidTr="00B771E2">
        <w:tc>
          <w:tcPr>
            <w:tcW w:w="1646" w:type="dxa"/>
            <w:vMerge w:val="restart"/>
            <w:shd w:val="clear" w:color="auto" w:fill="F2F2F2" w:themeFill="background1" w:themeFillShade="F2"/>
          </w:tcPr>
          <w:p w14:paraId="686ABDED" w14:textId="45C1739C" w:rsidR="00605A55" w:rsidRPr="009E74AA" w:rsidRDefault="0014051F" w:rsidP="008641E2">
            <w:pPr>
              <w:rPr>
                <w:rFonts w:ascii="Times New Roman" w:hAnsi="Times New Roman" w:cs="Times New Roman"/>
                <w:lang w:val="en-GB"/>
              </w:rPr>
            </w:pPr>
            <w:r w:rsidRPr="009E74AA">
              <w:rPr>
                <w:rFonts w:ascii="Times New Roman" w:hAnsi="Times New Roman" w:cs="Times New Roman"/>
                <w:lang w:val="en-GB"/>
              </w:rPr>
              <w:t>R</w:t>
            </w:r>
            <w:r w:rsidR="00605A55" w:rsidRPr="009E74AA">
              <w:rPr>
                <w:rFonts w:ascii="Times New Roman" w:hAnsi="Times New Roman" w:cs="Times New Roman"/>
                <w:lang w:val="en-GB"/>
              </w:rPr>
              <w:t>elevance</w:t>
            </w:r>
          </w:p>
        </w:tc>
        <w:tc>
          <w:tcPr>
            <w:tcW w:w="3227" w:type="dxa"/>
          </w:tcPr>
          <w:p w14:paraId="62052B80" w14:textId="146F5EFE" w:rsidR="00605A55" w:rsidRPr="009E74AA" w:rsidRDefault="00F57B8E" w:rsidP="00411A6C">
            <w:pPr>
              <w:rPr>
                <w:rFonts w:ascii="Times New Roman" w:hAnsi="Times New Roman" w:cs="Times New Roman"/>
                <w:lang w:val="en-GB"/>
              </w:rPr>
            </w:pPr>
            <w:r w:rsidRPr="009E74AA">
              <w:rPr>
                <w:rFonts w:ascii="Times New Roman" w:hAnsi="Times New Roman" w:cs="Times New Roman"/>
                <w:lang w:val="en-GB"/>
              </w:rPr>
              <w:t>To what extent the Programme funds measures that are cost-</w:t>
            </w:r>
            <w:proofErr w:type="gramStart"/>
            <w:r w:rsidRPr="009E74AA">
              <w:rPr>
                <w:rFonts w:ascii="Times New Roman" w:hAnsi="Times New Roman" w:cs="Times New Roman"/>
                <w:lang w:val="en-GB"/>
              </w:rPr>
              <w:t>efficient?</w:t>
            </w:r>
            <w:proofErr w:type="gramEnd"/>
          </w:p>
        </w:tc>
        <w:tc>
          <w:tcPr>
            <w:tcW w:w="9581" w:type="dxa"/>
          </w:tcPr>
          <w:p w14:paraId="35AA0DBB" w14:textId="77777777" w:rsidR="00811ADB" w:rsidRPr="009E74AA" w:rsidRDefault="00811ADB" w:rsidP="00E73535">
            <w:pPr>
              <w:jc w:val="both"/>
              <w:rPr>
                <w:rFonts w:ascii="Times New Roman" w:hAnsi="Times New Roman" w:cs="Times New Roman"/>
                <w:lang w:val="en-GB"/>
              </w:rPr>
            </w:pPr>
            <w:r w:rsidRPr="009E74AA">
              <w:rPr>
                <w:rFonts w:ascii="Times New Roman" w:hAnsi="Times New Roman" w:cs="Times New Roman"/>
                <w:lang w:val="en-GB"/>
              </w:rPr>
              <w:t xml:space="preserve">- The Programme supports those types of intervention measures and actions that, according to available evidence, are known as efficient and economical (including </w:t>
            </w:r>
            <w:proofErr w:type="gramStart"/>
            <w:r w:rsidRPr="009E74AA">
              <w:rPr>
                <w:rFonts w:ascii="Times New Roman" w:hAnsi="Times New Roman" w:cs="Times New Roman"/>
                <w:lang w:val="en-GB"/>
              </w:rPr>
              <w:t>e. g</w:t>
            </w:r>
            <w:proofErr w:type="gramEnd"/>
            <w:r w:rsidRPr="009E74AA">
              <w:rPr>
                <w:rFonts w:ascii="Times New Roman" w:hAnsi="Times New Roman" w:cs="Times New Roman"/>
                <w:lang w:val="en-GB"/>
              </w:rPr>
              <w:t>. academic literature, ex-post evaluation of previous programmes etc.);</w:t>
            </w:r>
          </w:p>
          <w:p w14:paraId="54BE4B9D" w14:textId="4CB7F02A" w:rsidR="00811ADB" w:rsidRPr="009E74AA" w:rsidRDefault="00811ADB" w:rsidP="00E73535">
            <w:pPr>
              <w:jc w:val="both"/>
              <w:rPr>
                <w:rFonts w:ascii="Times New Roman" w:hAnsi="Times New Roman" w:cs="Times New Roman"/>
                <w:lang w:val="en-GB"/>
              </w:rPr>
            </w:pPr>
            <w:r w:rsidRPr="009E74AA">
              <w:rPr>
                <w:rFonts w:ascii="Times New Roman" w:hAnsi="Times New Roman" w:cs="Times New Roman"/>
                <w:lang w:val="en-GB"/>
              </w:rPr>
              <w:t xml:space="preserve">- </w:t>
            </w:r>
            <w:r w:rsidR="008A1BD3">
              <w:rPr>
                <w:rFonts w:ascii="Times New Roman" w:hAnsi="Times New Roman" w:cs="Times New Roman"/>
                <w:lang w:val="en-GB"/>
              </w:rPr>
              <w:t>E</w:t>
            </w:r>
            <w:r w:rsidRPr="009E74AA">
              <w:rPr>
                <w:rFonts w:ascii="Times New Roman" w:hAnsi="Times New Roman" w:cs="Times New Roman"/>
                <w:lang w:val="en-GB"/>
              </w:rPr>
              <w:t>arly evidence of implementation of the actions/projects show that the unit price applied in them corresponds to or is lower than current market prices/averages;</w:t>
            </w:r>
          </w:p>
          <w:p w14:paraId="775AB35C" w14:textId="47855E9D" w:rsidR="00811ADB" w:rsidRPr="009E74AA" w:rsidRDefault="00811ADB" w:rsidP="00E73535">
            <w:pPr>
              <w:jc w:val="both"/>
              <w:rPr>
                <w:rFonts w:ascii="Times New Roman" w:hAnsi="Times New Roman" w:cs="Times New Roman"/>
                <w:lang w:val="en-GB"/>
              </w:rPr>
            </w:pPr>
            <w:r w:rsidRPr="009E74AA">
              <w:rPr>
                <w:rFonts w:ascii="Times New Roman" w:hAnsi="Times New Roman" w:cs="Times New Roman"/>
                <w:lang w:val="en-GB"/>
              </w:rPr>
              <w:t xml:space="preserve">- </w:t>
            </w:r>
            <w:r w:rsidR="008A1BD3">
              <w:rPr>
                <w:rFonts w:ascii="Times New Roman" w:hAnsi="Times New Roman" w:cs="Times New Roman"/>
                <w:lang w:val="en-GB"/>
              </w:rPr>
              <w:t>U</w:t>
            </w:r>
            <w:r w:rsidRPr="009E74AA">
              <w:rPr>
                <w:rFonts w:ascii="Times New Roman" w:hAnsi="Times New Roman" w:cs="Times New Roman"/>
                <w:lang w:val="en-GB"/>
              </w:rPr>
              <w:t>nit price differences between similar actions/projects within the Programme can be explained or justified (</w:t>
            </w:r>
            <w:proofErr w:type="gramStart"/>
            <w:r w:rsidRPr="009E74AA">
              <w:rPr>
                <w:rFonts w:ascii="Times New Roman" w:hAnsi="Times New Roman" w:cs="Times New Roman"/>
                <w:lang w:val="en-GB"/>
              </w:rPr>
              <w:t>e. g</w:t>
            </w:r>
            <w:proofErr w:type="gramEnd"/>
            <w:r w:rsidRPr="009E74AA">
              <w:rPr>
                <w:rFonts w:ascii="Times New Roman" w:hAnsi="Times New Roman" w:cs="Times New Roman"/>
                <w:lang w:val="en-GB"/>
              </w:rPr>
              <w:t>. differences in intensity or quality of proposed financing, innovation etc.);</w:t>
            </w:r>
          </w:p>
          <w:p w14:paraId="7B62B7BF" w14:textId="4BC7A385" w:rsidR="00811ADB" w:rsidRPr="009E74AA" w:rsidRDefault="00811ADB" w:rsidP="00605A55">
            <w:pPr>
              <w:rPr>
                <w:rFonts w:ascii="Times New Roman" w:hAnsi="Times New Roman" w:cs="Times New Roman"/>
                <w:lang w:val="en-GB"/>
              </w:rPr>
            </w:pPr>
            <w:r w:rsidRPr="009E74AA">
              <w:rPr>
                <w:rFonts w:ascii="Times New Roman" w:hAnsi="Times New Roman" w:cs="Times New Roman"/>
                <w:lang w:val="en-GB"/>
              </w:rPr>
              <w:t>- ....</w:t>
            </w:r>
          </w:p>
        </w:tc>
      </w:tr>
      <w:tr w:rsidR="00605A55" w:rsidRPr="009E74AA" w14:paraId="2AFF8053" w14:textId="77777777" w:rsidTr="00B771E2">
        <w:tc>
          <w:tcPr>
            <w:tcW w:w="1646" w:type="dxa"/>
            <w:vMerge/>
            <w:shd w:val="clear" w:color="auto" w:fill="F2F2F2" w:themeFill="background1" w:themeFillShade="F2"/>
          </w:tcPr>
          <w:p w14:paraId="7291D782" w14:textId="169824E3" w:rsidR="00605A55" w:rsidRPr="009E74AA" w:rsidRDefault="00605A55" w:rsidP="008641E2">
            <w:pPr>
              <w:rPr>
                <w:rFonts w:ascii="Times New Roman" w:hAnsi="Times New Roman" w:cs="Times New Roman"/>
                <w:lang w:val="en-GB"/>
              </w:rPr>
            </w:pPr>
          </w:p>
        </w:tc>
        <w:tc>
          <w:tcPr>
            <w:tcW w:w="3227" w:type="dxa"/>
          </w:tcPr>
          <w:p w14:paraId="600587E4" w14:textId="5FDF5FBA" w:rsidR="00605A55" w:rsidRPr="009E74AA" w:rsidRDefault="00F57B8E" w:rsidP="00652E44">
            <w:pPr>
              <w:rPr>
                <w:rFonts w:ascii="Times New Roman" w:hAnsi="Times New Roman" w:cs="Times New Roman"/>
                <w:lang w:val="en-GB"/>
              </w:rPr>
            </w:pPr>
            <w:r w:rsidRPr="009E74AA">
              <w:rPr>
                <w:rFonts w:ascii="Times New Roman" w:hAnsi="Times New Roman" w:cs="Times New Roman"/>
                <w:lang w:val="en-GB"/>
              </w:rPr>
              <w:t>What is the efficiency of the management and control system?</w:t>
            </w:r>
          </w:p>
        </w:tc>
        <w:tc>
          <w:tcPr>
            <w:tcW w:w="9581" w:type="dxa"/>
          </w:tcPr>
          <w:p w14:paraId="539C17CA" w14:textId="77777777" w:rsidR="00811ADB" w:rsidRPr="009E74AA" w:rsidRDefault="00811ADB" w:rsidP="003C2A46">
            <w:pPr>
              <w:jc w:val="both"/>
              <w:rPr>
                <w:rFonts w:ascii="Times New Roman" w:hAnsi="Times New Roman" w:cs="Times New Roman"/>
                <w:lang w:val="en-GB"/>
              </w:rPr>
            </w:pPr>
            <w:r w:rsidRPr="009E74AA">
              <w:rPr>
                <w:rFonts w:ascii="Times New Roman" w:hAnsi="Times New Roman" w:cs="Times New Roman"/>
                <w:lang w:val="en-GB"/>
              </w:rPr>
              <w:t>- As stated in legal acts, the management and control system aims at ensuring efficient project selection, monitoring, management, Monitoring Committee and accounting functions as well as the function of recording and storing data on each project;</w:t>
            </w:r>
          </w:p>
          <w:p w14:paraId="21097726" w14:textId="4EFFE7BC" w:rsidR="00811ADB" w:rsidRPr="009E74AA" w:rsidRDefault="00811ADB" w:rsidP="003C2A46">
            <w:pPr>
              <w:jc w:val="both"/>
              <w:rPr>
                <w:rFonts w:ascii="Times New Roman" w:hAnsi="Times New Roman" w:cs="Times New Roman"/>
                <w:lang w:val="en-GB"/>
              </w:rPr>
            </w:pPr>
            <w:r w:rsidRPr="009E74AA">
              <w:rPr>
                <w:rFonts w:ascii="Times New Roman" w:hAnsi="Times New Roman" w:cs="Times New Roman"/>
                <w:lang w:val="en-GB"/>
              </w:rPr>
              <w:t>- Administrative burden is proportional for all implementing entities (the Managing Authority and the Inter</w:t>
            </w:r>
            <w:r w:rsidR="00F13CAE" w:rsidRPr="009E74AA">
              <w:rPr>
                <w:rFonts w:ascii="Times New Roman" w:hAnsi="Times New Roman" w:cs="Times New Roman"/>
                <w:lang w:val="en-GB"/>
              </w:rPr>
              <w:t xml:space="preserve">mediate </w:t>
            </w:r>
            <w:r w:rsidRPr="009E74AA">
              <w:rPr>
                <w:rFonts w:ascii="Times New Roman" w:hAnsi="Times New Roman" w:cs="Times New Roman"/>
                <w:lang w:val="en-GB"/>
              </w:rPr>
              <w:t>Body), e. g. as compared with previous programming period; similar target groups are offered similar services</w:t>
            </w:r>
            <w:r w:rsidR="00F13CAE" w:rsidRPr="009E74AA">
              <w:rPr>
                <w:rFonts w:ascii="Times New Roman" w:hAnsi="Times New Roman" w:cs="Times New Roman"/>
                <w:lang w:val="en-GB"/>
              </w:rPr>
              <w:t xml:space="preserve"> without the Programme’s support);</w:t>
            </w:r>
          </w:p>
          <w:p w14:paraId="344791C0" w14:textId="77777777" w:rsidR="00F13CAE" w:rsidRPr="009E74AA" w:rsidRDefault="00F13CAE" w:rsidP="003C2A46">
            <w:pPr>
              <w:jc w:val="both"/>
              <w:rPr>
                <w:rFonts w:ascii="Times New Roman" w:hAnsi="Times New Roman" w:cs="Times New Roman"/>
                <w:lang w:val="en-GB"/>
              </w:rPr>
            </w:pPr>
            <w:r w:rsidRPr="009E74AA">
              <w:rPr>
                <w:rFonts w:ascii="Times New Roman" w:hAnsi="Times New Roman" w:cs="Times New Roman"/>
                <w:lang w:val="en-GB"/>
              </w:rPr>
              <w:t xml:space="preserve">- There are no excessive requirements on a national level (e. g. from the Managing Authority, the Intermediate Body and/or the Audit Authority), </w:t>
            </w:r>
            <w:proofErr w:type="spellStart"/>
            <w:r w:rsidRPr="009E74AA">
              <w:rPr>
                <w:rFonts w:ascii="Times New Roman" w:hAnsi="Times New Roman" w:cs="Times New Roman"/>
                <w:lang w:val="en-GB"/>
              </w:rPr>
              <w:t>i</w:t>
            </w:r>
            <w:proofErr w:type="spellEnd"/>
            <w:r w:rsidRPr="009E74AA">
              <w:rPr>
                <w:rFonts w:ascii="Times New Roman" w:hAnsi="Times New Roman" w:cs="Times New Roman"/>
                <w:lang w:val="en-GB"/>
              </w:rPr>
              <w:t>. e. requirements are not interpreted more stringently than set in legal acts or relevant methodological guidance for the Member States except in cases where there are valid reasons;</w:t>
            </w:r>
          </w:p>
          <w:p w14:paraId="5ED5F0DA" w14:textId="77777777" w:rsidR="00F13CAE" w:rsidRPr="009E74AA" w:rsidRDefault="00F13CAE" w:rsidP="003C2A46">
            <w:pPr>
              <w:jc w:val="both"/>
              <w:rPr>
                <w:rFonts w:ascii="Times New Roman" w:hAnsi="Times New Roman" w:cs="Times New Roman"/>
                <w:lang w:val="en-GB"/>
              </w:rPr>
            </w:pPr>
            <w:r w:rsidRPr="009E74AA">
              <w:rPr>
                <w:rFonts w:ascii="Times New Roman" w:hAnsi="Times New Roman" w:cs="Times New Roman"/>
                <w:lang w:val="en-GB"/>
              </w:rPr>
              <w:t>- Opportunities for simplified payment for expenses are used;</w:t>
            </w:r>
          </w:p>
          <w:p w14:paraId="5BAA88D1" w14:textId="628B8154" w:rsidR="00F13CAE" w:rsidRPr="009E74AA" w:rsidRDefault="00F13CAE" w:rsidP="003C2A46">
            <w:pPr>
              <w:jc w:val="both"/>
              <w:rPr>
                <w:rFonts w:ascii="Times New Roman" w:hAnsi="Times New Roman" w:cs="Times New Roman"/>
                <w:lang w:val="en-GB"/>
              </w:rPr>
            </w:pPr>
            <w:r w:rsidRPr="009E74AA">
              <w:rPr>
                <w:rFonts w:ascii="Times New Roman" w:hAnsi="Times New Roman" w:cs="Times New Roman"/>
                <w:lang w:val="en-GB"/>
              </w:rPr>
              <w:t xml:space="preserve">- </w:t>
            </w:r>
            <w:r w:rsidR="008A1BD3">
              <w:rPr>
                <w:rFonts w:ascii="Times New Roman" w:hAnsi="Times New Roman" w:cs="Times New Roman"/>
                <w:lang w:val="en-GB"/>
              </w:rPr>
              <w:t>T</w:t>
            </w:r>
            <w:r w:rsidRPr="009E74AA">
              <w:rPr>
                <w:rFonts w:ascii="Times New Roman" w:hAnsi="Times New Roman" w:cs="Times New Roman"/>
                <w:lang w:val="en-GB"/>
              </w:rPr>
              <w:t xml:space="preserve">echnical </w:t>
            </w:r>
            <w:r w:rsidR="009E74AA" w:rsidRPr="009E74AA">
              <w:rPr>
                <w:rFonts w:ascii="Times New Roman" w:hAnsi="Times New Roman" w:cs="Times New Roman"/>
                <w:lang w:val="en-GB"/>
              </w:rPr>
              <w:t>assistance</w:t>
            </w:r>
            <w:r w:rsidRPr="009E74AA">
              <w:rPr>
                <w:rFonts w:ascii="Times New Roman" w:hAnsi="Times New Roman" w:cs="Times New Roman"/>
                <w:lang w:val="en-GB"/>
              </w:rPr>
              <w:t xml:space="preserve"> is used for the strengthening of the management and control system as necessary;</w:t>
            </w:r>
          </w:p>
          <w:p w14:paraId="4F3B24CC" w14:textId="3F7053C1" w:rsidR="00F13CAE" w:rsidRPr="009E74AA" w:rsidRDefault="00F13CAE" w:rsidP="003C2A46">
            <w:pPr>
              <w:jc w:val="both"/>
              <w:rPr>
                <w:rFonts w:ascii="Times New Roman" w:hAnsi="Times New Roman" w:cs="Times New Roman"/>
                <w:lang w:val="en-GB"/>
              </w:rPr>
            </w:pPr>
            <w:r w:rsidRPr="009E74AA">
              <w:rPr>
                <w:rFonts w:ascii="Times New Roman" w:hAnsi="Times New Roman" w:cs="Times New Roman"/>
                <w:lang w:val="en-GB"/>
              </w:rPr>
              <w:t>- ....</w:t>
            </w:r>
          </w:p>
        </w:tc>
      </w:tr>
      <w:tr w:rsidR="00605A55" w:rsidRPr="009E74AA" w14:paraId="7BFE04CD" w14:textId="77777777" w:rsidTr="00B771E2">
        <w:tc>
          <w:tcPr>
            <w:tcW w:w="1646" w:type="dxa"/>
            <w:vMerge/>
            <w:shd w:val="clear" w:color="auto" w:fill="F2F2F2" w:themeFill="background1" w:themeFillShade="F2"/>
          </w:tcPr>
          <w:p w14:paraId="0BBA67B6" w14:textId="03FAF19D" w:rsidR="00605A55" w:rsidRPr="009E74AA" w:rsidRDefault="00605A55" w:rsidP="008641E2">
            <w:pPr>
              <w:rPr>
                <w:rFonts w:ascii="Times New Roman" w:hAnsi="Times New Roman" w:cs="Times New Roman"/>
                <w:lang w:val="en-GB"/>
              </w:rPr>
            </w:pPr>
          </w:p>
        </w:tc>
        <w:tc>
          <w:tcPr>
            <w:tcW w:w="3227" w:type="dxa"/>
          </w:tcPr>
          <w:p w14:paraId="6A722EB6" w14:textId="1768396A" w:rsidR="00F1535F" w:rsidRPr="009E74AA" w:rsidRDefault="00F57B8E" w:rsidP="00F1535F">
            <w:pPr>
              <w:rPr>
                <w:rFonts w:ascii="Times New Roman" w:hAnsi="Times New Roman" w:cs="Times New Roman"/>
                <w:lang w:val="en-GB"/>
              </w:rPr>
            </w:pPr>
            <w:r w:rsidRPr="009E74AA">
              <w:rPr>
                <w:rFonts w:ascii="Times New Roman" w:hAnsi="Times New Roman" w:cs="Times New Roman"/>
                <w:lang w:val="en-GB"/>
              </w:rPr>
              <w:t>What further/additional simplification/facilitation is possible?</w:t>
            </w:r>
          </w:p>
          <w:p w14:paraId="092978C1" w14:textId="77777777" w:rsidR="00605A55" w:rsidRPr="009E74AA" w:rsidRDefault="00605A55" w:rsidP="00F1535F">
            <w:pPr>
              <w:rPr>
                <w:rFonts w:ascii="Times New Roman" w:hAnsi="Times New Roman" w:cs="Times New Roman"/>
                <w:lang w:val="en-GB"/>
              </w:rPr>
            </w:pPr>
          </w:p>
        </w:tc>
        <w:tc>
          <w:tcPr>
            <w:tcW w:w="9581" w:type="dxa"/>
          </w:tcPr>
          <w:p w14:paraId="26A1FC08" w14:textId="0230C182" w:rsidR="00DB377D" w:rsidRPr="009E74AA" w:rsidRDefault="00DB377D" w:rsidP="00B771E2">
            <w:pPr>
              <w:jc w:val="both"/>
              <w:rPr>
                <w:rFonts w:ascii="Times New Roman" w:hAnsi="Times New Roman" w:cs="Times New Roman"/>
                <w:lang w:val="en-GB"/>
              </w:rPr>
            </w:pPr>
            <w:r w:rsidRPr="009E74AA">
              <w:rPr>
                <w:rFonts w:ascii="Times New Roman" w:hAnsi="Times New Roman" w:cs="Times New Roman"/>
                <w:lang w:val="en-GB"/>
              </w:rPr>
              <w:t>- There is evidence that legal requirements, procedures set in the rules or practices create disproportionate administrative burden on an EU level or a Member Sta</w:t>
            </w:r>
            <w:r w:rsidR="008A1BD3">
              <w:rPr>
                <w:rFonts w:ascii="Times New Roman" w:hAnsi="Times New Roman" w:cs="Times New Roman"/>
                <w:lang w:val="en-GB"/>
              </w:rPr>
              <w:t>t</w:t>
            </w:r>
            <w:r w:rsidRPr="009E74AA">
              <w:rPr>
                <w:rFonts w:ascii="Times New Roman" w:hAnsi="Times New Roman" w:cs="Times New Roman"/>
                <w:lang w:val="en-GB"/>
              </w:rPr>
              <w:t>es‘ level, and specific alternatives exist;</w:t>
            </w:r>
          </w:p>
          <w:p w14:paraId="2E9DFA04" w14:textId="7AD6AEF8" w:rsidR="00DB377D" w:rsidRPr="009E74AA" w:rsidRDefault="00DB377D" w:rsidP="00B771E2">
            <w:pPr>
              <w:jc w:val="both"/>
              <w:rPr>
                <w:rFonts w:ascii="Times New Roman" w:hAnsi="Times New Roman" w:cs="Times New Roman"/>
                <w:lang w:val="en-GB"/>
              </w:rPr>
            </w:pPr>
            <w:r w:rsidRPr="009E74AA">
              <w:rPr>
                <w:rFonts w:ascii="Times New Roman" w:hAnsi="Times New Roman" w:cs="Times New Roman"/>
                <w:lang w:val="en-GB"/>
              </w:rPr>
              <w:t xml:space="preserve">- There is a possibility to </w:t>
            </w:r>
            <w:r w:rsidR="009E74AA" w:rsidRPr="009E74AA">
              <w:rPr>
                <w:rFonts w:ascii="Times New Roman" w:hAnsi="Times New Roman" w:cs="Times New Roman"/>
                <w:lang w:val="en-GB"/>
              </w:rPr>
              <w:t>additionally</w:t>
            </w:r>
            <w:r w:rsidRPr="009E74AA">
              <w:rPr>
                <w:rFonts w:ascii="Times New Roman" w:hAnsi="Times New Roman" w:cs="Times New Roman"/>
                <w:lang w:val="en-GB"/>
              </w:rPr>
              <w:t xml:space="preserve"> use opportunities for </w:t>
            </w:r>
            <w:r w:rsidR="009E74AA" w:rsidRPr="009E74AA">
              <w:rPr>
                <w:rFonts w:ascii="Times New Roman" w:hAnsi="Times New Roman" w:cs="Times New Roman"/>
                <w:lang w:val="en-GB"/>
              </w:rPr>
              <w:t>simplified</w:t>
            </w:r>
            <w:r w:rsidRPr="009E74AA">
              <w:rPr>
                <w:rFonts w:ascii="Times New Roman" w:hAnsi="Times New Roman" w:cs="Times New Roman"/>
                <w:lang w:val="en-GB"/>
              </w:rPr>
              <w:t xml:space="preserve"> </w:t>
            </w:r>
            <w:r w:rsidR="008A1BD3">
              <w:rPr>
                <w:rFonts w:ascii="Times New Roman" w:hAnsi="Times New Roman" w:cs="Times New Roman"/>
                <w:lang w:val="en-GB"/>
              </w:rPr>
              <w:t xml:space="preserve">cost options </w:t>
            </w:r>
            <w:r w:rsidRPr="009E74AA">
              <w:rPr>
                <w:rFonts w:ascii="Times New Roman" w:hAnsi="Times New Roman" w:cs="Times New Roman"/>
                <w:lang w:val="en-GB"/>
              </w:rPr>
              <w:t xml:space="preserve">and financing not </w:t>
            </w:r>
            <w:r w:rsidR="008A1BD3">
              <w:rPr>
                <w:rFonts w:ascii="Times New Roman" w:hAnsi="Times New Roman" w:cs="Times New Roman"/>
                <w:lang w:val="en-GB"/>
              </w:rPr>
              <w:t>linked to costs</w:t>
            </w:r>
            <w:r w:rsidRPr="009E74AA">
              <w:rPr>
                <w:rFonts w:ascii="Times New Roman" w:hAnsi="Times New Roman" w:cs="Times New Roman"/>
                <w:lang w:val="en-GB"/>
              </w:rPr>
              <w:t>;</w:t>
            </w:r>
          </w:p>
          <w:p w14:paraId="6DECA162" w14:textId="3750D020" w:rsidR="00DB377D" w:rsidRPr="009E74AA" w:rsidRDefault="00DB377D" w:rsidP="00B771E2">
            <w:pPr>
              <w:jc w:val="both"/>
              <w:rPr>
                <w:rFonts w:ascii="Times New Roman" w:hAnsi="Times New Roman" w:cs="Times New Roman"/>
                <w:lang w:val="en-GB"/>
              </w:rPr>
            </w:pPr>
            <w:r w:rsidRPr="009E74AA">
              <w:rPr>
                <w:rFonts w:ascii="Times New Roman" w:hAnsi="Times New Roman" w:cs="Times New Roman"/>
                <w:lang w:val="en-GB"/>
              </w:rPr>
              <w:t>- There is evidence that there is a lack of coordination between entities taking part in the Programme’s implementation, which gives rise to e. g. lack of consistency, increased administrative burden</w:t>
            </w:r>
            <w:r w:rsidR="00F27052">
              <w:rPr>
                <w:rFonts w:ascii="Times New Roman" w:hAnsi="Times New Roman" w:cs="Times New Roman"/>
                <w:lang w:val="en-GB"/>
              </w:rPr>
              <w:t>,</w:t>
            </w:r>
            <w:r w:rsidRPr="009E74AA">
              <w:rPr>
                <w:rFonts w:ascii="Times New Roman" w:hAnsi="Times New Roman" w:cs="Times New Roman"/>
                <w:lang w:val="en-GB"/>
              </w:rPr>
              <w:t xml:space="preserve"> etc.;</w:t>
            </w:r>
          </w:p>
          <w:p w14:paraId="303D024D" w14:textId="19034A45" w:rsidR="00DB377D" w:rsidRPr="009E74AA" w:rsidRDefault="00DB377D" w:rsidP="00B771E2">
            <w:pPr>
              <w:jc w:val="both"/>
              <w:rPr>
                <w:rFonts w:ascii="Times New Roman" w:hAnsi="Times New Roman" w:cs="Times New Roman"/>
                <w:lang w:val="en-GB"/>
              </w:rPr>
            </w:pPr>
            <w:r w:rsidRPr="009E74AA">
              <w:rPr>
                <w:rFonts w:ascii="Times New Roman" w:hAnsi="Times New Roman" w:cs="Times New Roman"/>
                <w:lang w:val="en-GB"/>
              </w:rPr>
              <w:lastRenderedPageBreak/>
              <w:t xml:space="preserve">- </w:t>
            </w:r>
            <w:r w:rsidR="00584C88" w:rsidRPr="009E74AA">
              <w:rPr>
                <w:rFonts w:ascii="Times New Roman" w:hAnsi="Times New Roman" w:cs="Times New Roman"/>
                <w:lang w:val="en-GB"/>
              </w:rPr>
              <w:t xml:space="preserve">There are issues related to electronic data </w:t>
            </w:r>
            <w:r w:rsidR="00F27052">
              <w:rPr>
                <w:rFonts w:ascii="Times New Roman" w:hAnsi="Times New Roman" w:cs="Times New Roman"/>
                <w:lang w:val="en-GB"/>
              </w:rPr>
              <w:t>ex</w:t>
            </w:r>
            <w:r w:rsidR="00584C88" w:rsidRPr="009E74AA">
              <w:rPr>
                <w:rFonts w:ascii="Times New Roman" w:hAnsi="Times New Roman" w:cs="Times New Roman"/>
                <w:lang w:val="en-GB"/>
              </w:rPr>
              <w:t>change systems that give rise to delays and which can/must be resolved;</w:t>
            </w:r>
          </w:p>
          <w:p w14:paraId="170A2A1B" w14:textId="1DA44D4A" w:rsidR="00584C88" w:rsidRPr="009E74AA" w:rsidRDefault="00584C88" w:rsidP="00B771E2">
            <w:pPr>
              <w:jc w:val="both"/>
              <w:rPr>
                <w:rFonts w:ascii="Times New Roman" w:hAnsi="Times New Roman" w:cs="Times New Roman"/>
                <w:lang w:val="en-GB"/>
              </w:rPr>
            </w:pPr>
            <w:r w:rsidRPr="009E74AA">
              <w:rPr>
                <w:rFonts w:ascii="Times New Roman" w:hAnsi="Times New Roman" w:cs="Times New Roman"/>
                <w:lang w:val="en-GB"/>
              </w:rPr>
              <w:t>- ...</w:t>
            </w:r>
          </w:p>
        </w:tc>
      </w:tr>
      <w:tr w:rsidR="002D7A53" w:rsidRPr="009E74AA" w14:paraId="58A5AE87" w14:textId="77777777" w:rsidTr="00B771E2">
        <w:tc>
          <w:tcPr>
            <w:tcW w:w="1646" w:type="dxa"/>
            <w:vMerge w:val="restart"/>
            <w:shd w:val="clear" w:color="auto" w:fill="F2F2F2" w:themeFill="background1" w:themeFillShade="F2"/>
          </w:tcPr>
          <w:p w14:paraId="5B0B391D" w14:textId="4379351C" w:rsidR="002D7A53" w:rsidRPr="009E74AA" w:rsidRDefault="0014051F" w:rsidP="008641E2">
            <w:pPr>
              <w:rPr>
                <w:rFonts w:ascii="Times New Roman" w:hAnsi="Times New Roman" w:cs="Times New Roman"/>
                <w:lang w:val="en-GB"/>
              </w:rPr>
            </w:pPr>
            <w:r w:rsidRPr="009E74AA">
              <w:rPr>
                <w:rFonts w:ascii="Times New Roman" w:hAnsi="Times New Roman" w:cs="Times New Roman"/>
                <w:lang w:val="en-GB"/>
              </w:rPr>
              <w:lastRenderedPageBreak/>
              <w:t>Coherence</w:t>
            </w:r>
          </w:p>
        </w:tc>
        <w:tc>
          <w:tcPr>
            <w:tcW w:w="3227" w:type="dxa"/>
          </w:tcPr>
          <w:p w14:paraId="589AE520" w14:textId="2E44FB61" w:rsidR="002D7A53" w:rsidRPr="009E74AA" w:rsidRDefault="00F57B8E" w:rsidP="00F27052">
            <w:pPr>
              <w:rPr>
                <w:rFonts w:ascii="Times New Roman" w:hAnsi="Times New Roman" w:cs="Times New Roman"/>
                <w:lang w:val="en-GB"/>
              </w:rPr>
            </w:pPr>
            <w:r w:rsidRPr="009E74AA">
              <w:rPr>
                <w:rFonts w:ascii="Times New Roman" w:hAnsi="Times New Roman" w:cs="Times New Roman"/>
                <w:lang w:val="en-GB"/>
              </w:rPr>
              <w:t xml:space="preserve">To what extent the Programme is compatible with other initiatives that are supported under this policy area, in particular, with the support under a thematic </w:t>
            </w:r>
            <w:r w:rsidR="00F27052">
              <w:rPr>
                <w:rFonts w:ascii="Times New Roman" w:hAnsi="Times New Roman" w:cs="Times New Roman"/>
                <w:lang w:val="en-GB"/>
              </w:rPr>
              <w:t xml:space="preserve">facility </w:t>
            </w:r>
            <w:r w:rsidRPr="009E74AA">
              <w:rPr>
                <w:rFonts w:ascii="Times New Roman" w:hAnsi="Times New Roman" w:cs="Times New Roman"/>
                <w:lang w:val="en-GB"/>
              </w:rPr>
              <w:t xml:space="preserve">in different management </w:t>
            </w:r>
            <w:proofErr w:type="gramStart"/>
            <w:r w:rsidRPr="009E74AA">
              <w:rPr>
                <w:rFonts w:ascii="Times New Roman" w:hAnsi="Times New Roman" w:cs="Times New Roman"/>
                <w:lang w:val="en-GB"/>
              </w:rPr>
              <w:t>mechanisms?</w:t>
            </w:r>
            <w:proofErr w:type="gramEnd"/>
          </w:p>
        </w:tc>
        <w:tc>
          <w:tcPr>
            <w:tcW w:w="9581" w:type="dxa"/>
          </w:tcPr>
          <w:p w14:paraId="74BD6273" w14:textId="48C316FE" w:rsidR="00584C88" w:rsidRPr="009E74AA" w:rsidRDefault="00584C88" w:rsidP="00B771E2">
            <w:pPr>
              <w:jc w:val="both"/>
              <w:rPr>
                <w:rFonts w:ascii="Times New Roman" w:hAnsi="Times New Roman" w:cs="Times New Roman"/>
                <w:lang w:val="en-GB"/>
              </w:rPr>
            </w:pPr>
            <w:r w:rsidRPr="009E74AA">
              <w:rPr>
                <w:rFonts w:ascii="Times New Roman" w:hAnsi="Times New Roman" w:cs="Times New Roman"/>
                <w:lang w:val="en-GB"/>
              </w:rPr>
              <w:t xml:space="preserve">- There are structures, organisational arrangements or coordination mechanisms in place that ensure coordination, complementarity of various management mechanisms and, if </w:t>
            </w:r>
            <w:r w:rsidR="009E74AA" w:rsidRPr="009E74AA">
              <w:rPr>
                <w:rFonts w:ascii="Times New Roman" w:hAnsi="Times New Roman" w:cs="Times New Roman"/>
                <w:lang w:val="en-GB"/>
              </w:rPr>
              <w:t>necessary</w:t>
            </w:r>
            <w:r w:rsidRPr="009E74AA">
              <w:rPr>
                <w:rFonts w:ascii="Times New Roman" w:hAnsi="Times New Roman" w:cs="Times New Roman"/>
                <w:lang w:val="en-GB"/>
              </w:rPr>
              <w:t>, synergy;</w:t>
            </w:r>
          </w:p>
          <w:p w14:paraId="32469B69" w14:textId="77777777" w:rsidR="00584C88" w:rsidRPr="009E74AA" w:rsidRDefault="00584C88" w:rsidP="00B771E2">
            <w:pPr>
              <w:jc w:val="both"/>
              <w:rPr>
                <w:rFonts w:ascii="Times New Roman" w:hAnsi="Times New Roman" w:cs="Times New Roman"/>
                <w:lang w:val="en-GB"/>
              </w:rPr>
            </w:pPr>
            <w:r w:rsidRPr="009E74AA">
              <w:rPr>
                <w:rFonts w:ascii="Times New Roman" w:hAnsi="Times New Roman" w:cs="Times New Roman"/>
                <w:lang w:val="en-GB"/>
              </w:rPr>
              <w:t>- The coordination mechanisms and arrangements are successfully used on a regular basis;</w:t>
            </w:r>
          </w:p>
          <w:p w14:paraId="7B66B033" w14:textId="77777777" w:rsidR="00584C88" w:rsidRPr="009E74AA" w:rsidRDefault="00584C88" w:rsidP="00B771E2">
            <w:pPr>
              <w:jc w:val="both"/>
              <w:rPr>
                <w:rFonts w:ascii="Times New Roman" w:hAnsi="Times New Roman" w:cs="Times New Roman"/>
                <w:lang w:val="en-GB"/>
              </w:rPr>
            </w:pPr>
            <w:r w:rsidRPr="009E74AA">
              <w:rPr>
                <w:rFonts w:ascii="Times New Roman" w:hAnsi="Times New Roman" w:cs="Times New Roman"/>
                <w:lang w:val="en-GB"/>
              </w:rPr>
              <w:t xml:space="preserve">- Apparent coincidence is justified by objective reasons (e. g. the same target group but different type of measure / different needs / different preparedness </w:t>
            </w:r>
            <w:r w:rsidR="008D1EBE" w:rsidRPr="009E74AA">
              <w:rPr>
                <w:rFonts w:ascii="Times New Roman" w:hAnsi="Times New Roman" w:cs="Times New Roman"/>
                <w:lang w:val="en-GB"/>
              </w:rPr>
              <w:t>for the selected type of financial assistance);</w:t>
            </w:r>
          </w:p>
          <w:p w14:paraId="6DF60F74" w14:textId="406BC43C" w:rsidR="008D1EBE" w:rsidRPr="009E74AA" w:rsidRDefault="008D1EBE" w:rsidP="00B771E2">
            <w:pPr>
              <w:jc w:val="both"/>
              <w:rPr>
                <w:rFonts w:ascii="Times New Roman" w:hAnsi="Times New Roman" w:cs="Times New Roman"/>
                <w:lang w:val="en-GB"/>
              </w:rPr>
            </w:pPr>
            <w:r w:rsidRPr="009E74AA">
              <w:rPr>
                <w:rFonts w:ascii="Times New Roman" w:hAnsi="Times New Roman" w:cs="Times New Roman"/>
                <w:lang w:val="en-GB"/>
              </w:rPr>
              <w:t>- The Programme is in line with the current policy agendas on both EU and national level;</w:t>
            </w:r>
          </w:p>
          <w:p w14:paraId="1000DFEB" w14:textId="77777777" w:rsidR="008D1EBE" w:rsidRPr="009E74AA" w:rsidRDefault="008D1EBE" w:rsidP="00B771E2">
            <w:pPr>
              <w:jc w:val="both"/>
              <w:rPr>
                <w:rFonts w:ascii="Times New Roman" w:hAnsi="Times New Roman" w:cs="Times New Roman"/>
                <w:lang w:val="en-GB"/>
              </w:rPr>
            </w:pPr>
            <w:r w:rsidRPr="009E74AA">
              <w:rPr>
                <w:rFonts w:ascii="Times New Roman" w:hAnsi="Times New Roman" w:cs="Times New Roman"/>
                <w:lang w:val="en-GB"/>
              </w:rPr>
              <w:t>- There is evidence of interdepartmental collaboration;</w:t>
            </w:r>
          </w:p>
          <w:p w14:paraId="4954E36D" w14:textId="2C643AC6" w:rsidR="008D1EBE" w:rsidRPr="009E74AA" w:rsidRDefault="008D1EBE" w:rsidP="00B771E2">
            <w:pPr>
              <w:jc w:val="both"/>
              <w:rPr>
                <w:rFonts w:ascii="Times New Roman" w:hAnsi="Times New Roman" w:cs="Times New Roman"/>
                <w:lang w:val="en-GB"/>
              </w:rPr>
            </w:pPr>
            <w:r w:rsidRPr="009E74AA">
              <w:rPr>
                <w:rFonts w:ascii="Times New Roman" w:hAnsi="Times New Roman" w:cs="Times New Roman"/>
                <w:lang w:val="en-GB"/>
              </w:rPr>
              <w:t>- ...</w:t>
            </w:r>
          </w:p>
        </w:tc>
      </w:tr>
      <w:tr w:rsidR="002D7A53" w:rsidRPr="009E74AA" w14:paraId="71402354" w14:textId="77777777" w:rsidTr="00B771E2">
        <w:tc>
          <w:tcPr>
            <w:tcW w:w="1646" w:type="dxa"/>
            <w:vMerge/>
            <w:shd w:val="clear" w:color="auto" w:fill="F2F2F2" w:themeFill="background1" w:themeFillShade="F2"/>
          </w:tcPr>
          <w:p w14:paraId="03D87DDE" w14:textId="77777777" w:rsidR="002D7A53" w:rsidRPr="009E74AA" w:rsidRDefault="002D7A53" w:rsidP="008641E2">
            <w:pPr>
              <w:rPr>
                <w:rFonts w:ascii="Times New Roman" w:hAnsi="Times New Roman" w:cs="Times New Roman"/>
                <w:lang w:val="en-GB"/>
              </w:rPr>
            </w:pPr>
          </w:p>
        </w:tc>
        <w:tc>
          <w:tcPr>
            <w:tcW w:w="3227" w:type="dxa"/>
          </w:tcPr>
          <w:p w14:paraId="23616A7E" w14:textId="276C8890" w:rsidR="002D7A53" w:rsidRPr="009E74AA" w:rsidRDefault="00F57B8E" w:rsidP="00F27052">
            <w:pPr>
              <w:rPr>
                <w:rFonts w:ascii="Times New Roman" w:hAnsi="Times New Roman" w:cs="Times New Roman"/>
                <w:lang w:val="en-GB"/>
              </w:rPr>
            </w:pPr>
            <w:r w:rsidRPr="009E74AA">
              <w:rPr>
                <w:rFonts w:ascii="Times New Roman" w:hAnsi="Times New Roman" w:cs="Times New Roman"/>
                <w:lang w:val="en-GB"/>
              </w:rPr>
              <w:t xml:space="preserve">To what extent the Programme is compatible with other EU funds (including other </w:t>
            </w:r>
            <w:r w:rsidR="00F27052">
              <w:rPr>
                <w:rFonts w:ascii="Times New Roman" w:hAnsi="Times New Roman" w:cs="Times New Roman"/>
                <w:lang w:val="en-GB"/>
              </w:rPr>
              <w:t xml:space="preserve">home affairs </w:t>
            </w:r>
            <w:r w:rsidRPr="009E74AA">
              <w:rPr>
                <w:rFonts w:ascii="Times New Roman" w:hAnsi="Times New Roman" w:cs="Times New Roman"/>
                <w:lang w:val="en-GB"/>
              </w:rPr>
              <w:t>funds), in particular, with the EU‘s external actions?</w:t>
            </w:r>
          </w:p>
        </w:tc>
        <w:tc>
          <w:tcPr>
            <w:tcW w:w="9581" w:type="dxa"/>
          </w:tcPr>
          <w:p w14:paraId="5BD7C458" w14:textId="73F98363" w:rsidR="00773892" w:rsidRPr="009E74AA" w:rsidRDefault="00773892" w:rsidP="00B771E2">
            <w:pPr>
              <w:jc w:val="both"/>
              <w:rPr>
                <w:rFonts w:ascii="Times New Roman" w:hAnsi="Times New Roman" w:cs="Times New Roman"/>
                <w:lang w:val="en-GB"/>
              </w:rPr>
            </w:pPr>
            <w:r w:rsidRPr="009E74AA">
              <w:rPr>
                <w:rFonts w:ascii="Times New Roman" w:hAnsi="Times New Roman" w:cs="Times New Roman"/>
                <w:lang w:val="en-GB"/>
              </w:rPr>
              <w:t>- There are structures, organisational arrangements or coordination mechanisms in place that ensure coordination, complementary and, if necessary, synergy with other EU funds, in particular the Cohesion Policy and the EU</w:t>
            </w:r>
            <w:r w:rsidR="00387B11">
              <w:rPr>
                <w:rFonts w:ascii="Times New Roman" w:hAnsi="Times New Roman" w:cs="Times New Roman"/>
                <w:lang w:val="en-GB"/>
              </w:rPr>
              <w:t>’s</w:t>
            </w:r>
            <w:r w:rsidRPr="009E74AA">
              <w:rPr>
                <w:rFonts w:ascii="Times New Roman" w:hAnsi="Times New Roman" w:cs="Times New Roman"/>
                <w:lang w:val="en-GB"/>
              </w:rPr>
              <w:t xml:space="preserve"> external actions;</w:t>
            </w:r>
          </w:p>
          <w:p w14:paraId="0A7182D6" w14:textId="77777777" w:rsidR="00773892" w:rsidRPr="009E74AA" w:rsidRDefault="00773892" w:rsidP="00B771E2">
            <w:pPr>
              <w:jc w:val="both"/>
              <w:rPr>
                <w:rFonts w:ascii="Times New Roman" w:hAnsi="Times New Roman" w:cs="Times New Roman"/>
                <w:lang w:val="en-GB"/>
              </w:rPr>
            </w:pPr>
            <w:r w:rsidRPr="009E74AA">
              <w:rPr>
                <w:rFonts w:ascii="Times New Roman" w:hAnsi="Times New Roman" w:cs="Times New Roman"/>
                <w:lang w:val="en-GB"/>
              </w:rPr>
              <w:t>- The coordination mechanisms and arrangements are successfully used on a regular basis;</w:t>
            </w:r>
          </w:p>
          <w:p w14:paraId="19B40290" w14:textId="77777777" w:rsidR="00773892" w:rsidRPr="009E74AA" w:rsidRDefault="00773892" w:rsidP="00773892">
            <w:pPr>
              <w:jc w:val="both"/>
              <w:rPr>
                <w:rFonts w:ascii="Times New Roman" w:hAnsi="Times New Roman" w:cs="Times New Roman"/>
                <w:lang w:val="en-GB"/>
              </w:rPr>
            </w:pPr>
            <w:r w:rsidRPr="009E74AA">
              <w:rPr>
                <w:rFonts w:ascii="Times New Roman" w:hAnsi="Times New Roman" w:cs="Times New Roman"/>
                <w:lang w:val="en-GB"/>
              </w:rPr>
              <w:t>- Apparent coincidence is justified by objective reasons (e. g. the same target group but different type of measure / different needs / different preparedness for the selected type of financial assistance);</w:t>
            </w:r>
          </w:p>
          <w:p w14:paraId="2DCBB3C1" w14:textId="5D11528B" w:rsidR="00773892" w:rsidRPr="009E74AA" w:rsidRDefault="00773892" w:rsidP="00B771E2">
            <w:pPr>
              <w:jc w:val="both"/>
              <w:rPr>
                <w:rFonts w:ascii="Times New Roman" w:hAnsi="Times New Roman" w:cs="Times New Roman"/>
                <w:lang w:val="en-GB"/>
              </w:rPr>
            </w:pPr>
            <w:r w:rsidRPr="009E74AA">
              <w:rPr>
                <w:rFonts w:ascii="Times New Roman" w:hAnsi="Times New Roman" w:cs="Times New Roman"/>
                <w:lang w:val="en-GB"/>
              </w:rPr>
              <w:t>- The Programme complements various policy agendas, supplementing other EU</w:t>
            </w:r>
            <w:r w:rsidR="00387B11">
              <w:rPr>
                <w:rFonts w:ascii="Times New Roman" w:hAnsi="Times New Roman" w:cs="Times New Roman"/>
                <w:lang w:val="en-GB"/>
              </w:rPr>
              <w:t>’</w:t>
            </w:r>
            <w:r w:rsidRPr="009E74AA">
              <w:rPr>
                <w:rFonts w:ascii="Times New Roman" w:hAnsi="Times New Roman" w:cs="Times New Roman"/>
                <w:lang w:val="en-GB"/>
              </w:rPr>
              <w:t xml:space="preserve">s financial </w:t>
            </w:r>
            <w:r w:rsidR="009E74AA" w:rsidRPr="009E74AA">
              <w:rPr>
                <w:rFonts w:ascii="Times New Roman" w:hAnsi="Times New Roman" w:cs="Times New Roman"/>
                <w:lang w:val="en-GB"/>
              </w:rPr>
              <w:t>assistance</w:t>
            </w:r>
            <w:r w:rsidRPr="009E74AA">
              <w:rPr>
                <w:rFonts w:ascii="Times New Roman" w:hAnsi="Times New Roman" w:cs="Times New Roman"/>
                <w:lang w:val="en-GB"/>
              </w:rPr>
              <w:t>;</w:t>
            </w:r>
          </w:p>
          <w:p w14:paraId="6B3F2A21" w14:textId="5AED0F1D" w:rsidR="00773892" w:rsidRPr="009E74AA" w:rsidRDefault="00773892" w:rsidP="00B771E2">
            <w:pPr>
              <w:jc w:val="both"/>
              <w:rPr>
                <w:rFonts w:ascii="Times New Roman" w:hAnsi="Times New Roman" w:cs="Times New Roman"/>
                <w:lang w:val="en-GB"/>
              </w:rPr>
            </w:pPr>
            <w:r w:rsidRPr="009E74AA">
              <w:rPr>
                <w:rFonts w:ascii="Times New Roman" w:hAnsi="Times New Roman" w:cs="Times New Roman"/>
                <w:lang w:val="en-GB"/>
              </w:rPr>
              <w:t>- ...</w:t>
            </w:r>
          </w:p>
        </w:tc>
      </w:tr>
      <w:tr w:rsidR="002F48CD" w:rsidRPr="009E74AA" w14:paraId="77631BFC" w14:textId="77777777" w:rsidTr="00B771E2">
        <w:tc>
          <w:tcPr>
            <w:tcW w:w="1646" w:type="dxa"/>
            <w:shd w:val="clear" w:color="auto" w:fill="F2F2F2" w:themeFill="background1" w:themeFillShade="F2"/>
          </w:tcPr>
          <w:p w14:paraId="67255A64" w14:textId="40026655" w:rsidR="002F48CD" w:rsidRPr="009E74AA" w:rsidRDefault="002F48CD" w:rsidP="008641E2">
            <w:pPr>
              <w:rPr>
                <w:rFonts w:ascii="Times New Roman" w:hAnsi="Times New Roman" w:cs="Times New Roman"/>
                <w:iCs/>
                <w:lang w:val="en-GB"/>
              </w:rPr>
            </w:pPr>
            <w:r w:rsidRPr="009E74AA">
              <w:rPr>
                <w:rFonts w:ascii="Times New Roman" w:hAnsi="Times New Roman" w:cs="Times New Roman"/>
                <w:iCs/>
                <w:lang w:val="en-GB"/>
              </w:rPr>
              <w:t>Union added value</w:t>
            </w:r>
          </w:p>
        </w:tc>
        <w:tc>
          <w:tcPr>
            <w:tcW w:w="3227" w:type="dxa"/>
          </w:tcPr>
          <w:p w14:paraId="27FF7D50" w14:textId="26E5AB50" w:rsidR="00F27052" w:rsidRPr="009E74AA" w:rsidRDefault="00180263" w:rsidP="00B771E2">
            <w:pPr>
              <w:rPr>
                <w:rFonts w:ascii="Times New Roman" w:hAnsi="Times New Roman" w:cs="Times New Roman"/>
                <w:lang w:val="en-GB"/>
              </w:rPr>
            </w:pPr>
            <w:r w:rsidRPr="009E74AA">
              <w:rPr>
                <w:rFonts w:ascii="Times New Roman" w:hAnsi="Times New Roman" w:cs="Times New Roman"/>
                <w:lang w:val="en-GB"/>
              </w:rPr>
              <w:t xml:space="preserve">To what extent </w:t>
            </w:r>
            <w:r w:rsidR="00F27052">
              <w:rPr>
                <w:rFonts w:ascii="Times New Roman" w:hAnsi="Times New Roman" w:cs="Times New Roman"/>
                <w:lang w:val="en-GB"/>
              </w:rPr>
              <w:t xml:space="preserve">is </w:t>
            </w:r>
            <w:r w:rsidRPr="009E74AA">
              <w:rPr>
                <w:rFonts w:ascii="Times New Roman" w:hAnsi="Times New Roman" w:cs="Times New Roman"/>
                <w:lang w:val="en-GB"/>
              </w:rPr>
              <w:t>the Programme generat</w:t>
            </w:r>
            <w:r w:rsidR="00F27052">
              <w:rPr>
                <w:rFonts w:ascii="Times New Roman" w:hAnsi="Times New Roman" w:cs="Times New Roman"/>
                <w:lang w:val="en-GB"/>
              </w:rPr>
              <w:t>ing EU</w:t>
            </w:r>
            <w:r w:rsidRPr="009E74AA">
              <w:rPr>
                <w:rFonts w:ascii="Times New Roman" w:hAnsi="Times New Roman" w:cs="Times New Roman"/>
                <w:lang w:val="en-GB"/>
              </w:rPr>
              <w:t xml:space="preserve"> </w:t>
            </w:r>
            <w:r w:rsidR="00F27052" w:rsidRPr="009E74AA">
              <w:rPr>
                <w:rFonts w:ascii="Times New Roman" w:hAnsi="Times New Roman" w:cs="Times New Roman"/>
                <w:lang w:val="en-GB"/>
              </w:rPr>
              <w:t xml:space="preserve">added </w:t>
            </w:r>
            <w:r w:rsidR="00E73535">
              <w:rPr>
                <w:rFonts w:ascii="Times New Roman" w:hAnsi="Times New Roman" w:cs="Times New Roman"/>
                <w:lang w:val="en-GB"/>
              </w:rPr>
              <w:t>value</w:t>
            </w:r>
            <w:r w:rsidRPr="009E74AA">
              <w:rPr>
                <w:rFonts w:ascii="Times New Roman" w:hAnsi="Times New Roman" w:cs="Times New Roman"/>
                <w:lang w:val="en-GB"/>
              </w:rPr>
              <w:t>?</w:t>
            </w:r>
          </w:p>
          <w:p w14:paraId="1F099701" w14:textId="6B188DA9" w:rsidR="002F48CD" w:rsidRPr="009E74AA" w:rsidRDefault="002F48CD" w:rsidP="00B771E2">
            <w:pPr>
              <w:rPr>
                <w:rFonts w:ascii="Times New Roman" w:hAnsi="Times New Roman" w:cs="Times New Roman"/>
                <w:lang w:val="en-GB"/>
              </w:rPr>
            </w:pPr>
          </w:p>
        </w:tc>
        <w:tc>
          <w:tcPr>
            <w:tcW w:w="9581" w:type="dxa"/>
          </w:tcPr>
          <w:p w14:paraId="18DFEFB2" w14:textId="7FB63743" w:rsidR="00773892" w:rsidRPr="009E74AA" w:rsidRDefault="00773892" w:rsidP="00B771E2">
            <w:pPr>
              <w:jc w:val="both"/>
              <w:rPr>
                <w:rFonts w:ascii="Times New Roman" w:hAnsi="Times New Roman" w:cs="Times New Roman"/>
                <w:lang w:val="en-GB"/>
              </w:rPr>
            </w:pPr>
            <w:r w:rsidRPr="009E74AA">
              <w:rPr>
                <w:rFonts w:ascii="Times New Roman" w:hAnsi="Times New Roman" w:cs="Times New Roman"/>
                <w:lang w:val="en-GB"/>
              </w:rPr>
              <w:t xml:space="preserve">- </w:t>
            </w:r>
            <w:r w:rsidR="007A4D35" w:rsidRPr="009E74AA">
              <w:rPr>
                <w:rFonts w:ascii="Times New Roman" w:hAnsi="Times New Roman" w:cs="Times New Roman"/>
                <w:lang w:val="en-GB"/>
              </w:rPr>
              <w:t>The Programme is focused on those areas, interventions and target groups in which better results can be achieved on an EU level compared with the results that can be achieved by the EU Member States acting independently, e. g.:</w:t>
            </w:r>
          </w:p>
          <w:p w14:paraId="343830C7" w14:textId="6172C529" w:rsidR="007A4D35" w:rsidRPr="009E74AA" w:rsidRDefault="007A4D35" w:rsidP="00B771E2">
            <w:pPr>
              <w:jc w:val="both"/>
              <w:rPr>
                <w:rFonts w:ascii="Times New Roman" w:hAnsi="Times New Roman" w:cs="Times New Roman"/>
                <w:lang w:val="en-GB"/>
              </w:rPr>
            </w:pPr>
            <w:r w:rsidRPr="009E74AA">
              <w:rPr>
                <w:rFonts w:ascii="Times New Roman" w:hAnsi="Times New Roman" w:cs="Times New Roman"/>
                <w:lang w:val="en-GB"/>
              </w:rPr>
              <w:t xml:space="preserve">    - there is evidence of the impact of scope, i.e. additional target groups or </w:t>
            </w:r>
            <w:r w:rsidR="009E74AA" w:rsidRPr="009E74AA">
              <w:rPr>
                <w:rFonts w:ascii="Times New Roman" w:hAnsi="Times New Roman" w:cs="Times New Roman"/>
                <w:lang w:val="en-GB"/>
              </w:rPr>
              <w:t>additional</w:t>
            </w:r>
            <w:r w:rsidRPr="009E74AA">
              <w:rPr>
                <w:rFonts w:ascii="Times New Roman" w:hAnsi="Times New Roman" w:cs="Times New Roman"/>
                <w:lang w:val="en-GB"/>
              </w:rPr>
              <w:t xml:space="preserve"> types of intervention measures are proposed;</w:t>
            </w:r>
          </w:p>
          <w:p w14:paraId="3AD405CF" w14:textId="0B02B068" w:rsidR="007A4D35" w:rsidRPr="009E74AA" w:rsidRDefault="007A4D35" w:rsidP="00B771E2">
            <w:pPr>
              <w:jc w:val="both"/>
              <w:rPr>
                <w:rFonts w:ascii="Times New Roman" w:hAnsi="Times New Roman" w:cs="Times New Roman"/>
                <w:lang w:val="en-GB"/>
              </w:rPr>
            </w:pPr>
            <w:r w:rsidRPr="009E74AA">
              <w:rPr>
                <w:rFonts w:ascii="Times New Roman" w:hAnsi="Times New Roman" w:cs="Times New Roman"/>
                <w:lang w:val="en-GB"/>
              </w:rPr>
              <w:t xml:space="preserve">    - there is evidence of the impact of scale, i.e. larger number of services offered / of final beneficiaries;</w:t>
            </w:r>
          </w:p>
          <w:p w14:paraId="489885BB" w14:textId="01363896" w:rsidR="002F48CD" w:rsidRPr="009E74AA" w:rsidRDefault="007A4D35" w:rsidP="00B771E2">
            <w:pPr>
              <w:jc w:val="both"/>
              <w:rPr>
                <w:rFonts w:ascii="Times New Roman" w:hAnsi="Times New Roman" w:cs="Times New Roman"/>
                <w:lang w:val="en-GB"/>
              </w:rPr>
            </w:pPr>
            <w:r w:rsidRPr="009E74AA">
              <w:rPr>
                <w:rFonts w:ascii="Times New Roman" w:hAnsi="Times New Roman" w:cs="Times New Roman"/>
                <w:lang w:val="en-GB"/>
              </w:rPr>
              <w:t xml:space="preserve">    - there is evidence of the impact of functions, i.e. learning of participating </w:t>
            </w:r>
            <w:r w:rsidR="009E74AA" w:rsidRPr="009E74AA">
              <w:rPr>
                <w:rFonts w:ascii="Times New Roman" w:hAnsi="Times New Roman" w:cs="Times New Roman"/>
                <w:lang w:val="en-GB"/>
              </w:rPr>
              <w:t>entities</w:t>
            </w:r>
            <w:r w:rsidRPr="009E74AA">
              <w:rPr>
                <w:rFonts w:ascii="Times New Roman" w:hAnsi="Times New Roman" w:cs="Times New Roman"/>
                <w:lang w:val="en-GB"/>
              </w:rPr>
              <w:t xml:space="preserve"> and improved capacities to manage public </w:t>
            </w:r>
            <w:r w:rsidR="009E74AA" w:rsidRPr="009E74AA">
              <w:rPr>
                <w:rFonts w:ascii="Times New Roman" w:hAnsi="Times New Roman" w:cs="Times New Roman"/>
                <w:lang w:val="en-GB"/>
              </w:rPr>
              <w:t>assistance</w:t>
            </w:r>
            <w:r w:rsidRPr="009E74AA">
              <w:rPr>
                <w:rFonts w:ascii="Times New Roman" w:hAnsi="Times New Roman" w:cs="Times New Roman"/>
                <w:lang w:val="en-GB"/>
              </w:rPr>
              <w:t>;</w:t>
            </w:r>
          </w:p>
          <w:p w14:paraId="1B6D7C7B" w14:textId="737182AD" w:rsidR="007A4D35" w:rsidRDefault="007A4D35" w:rsidP="00B771E2">
            <w:pPr>
              <w:jc w:val="both"/>
              <w:rPr>
                <w:rFonts w:ascii="Times New Roman" w:hAnsi="Times New Roman" w:cs="Times New Roman"/>
                <w:lang w:val="en-GB"/>
              </w:rPr>
            </w:pPr>
            <w:r w:rsidRPr="009E74AA">
              <w:rPr>
                <w:rFonts w:ascii="Times New Roman" w:hAnsi="Times New Roman" w:cs="Times New Roman"/>
                <w:lang w:val="en-GB"/>
              </w:rPr>
              <w:t xml:space="preserve">- There is no evidence of dependence, i.e. systemic lack of investments based on national resources for relevant </w:t>
            </w:r>
            <w:r w:rsidR="009E74AA" w:rsidRPr="009E74AA">
              <w:rPr>
                <w:rFonts w:ascii="Times New Roman" w:hAnsi="Times New Roman" w:cs="Times New Roman"/>
                <w:lang w:val="en-GB"/>
              </w:rPr>
              <w:t>services</w:t>
            </w:r>
            <w:r w:rsidRPr="009E74AA">
              <w:rPr>
                <w:rFonts w:ascii="Times New Roman" w:hAnsi="Times New Roman" w:cs="Times New Roman"/>
                <w:lang w:val="en-GB"/>
              </w:rPr>
              <w:t xml:space="preserve"> that are provided only with the financing of the EU funds</w:t>
            </w:r>
            <w:r w:rsidR="00EB0989">
              <w:rPr>
                <w:rFonts w:ascii="Times New Roman" w:hAnsi="Times New Roman" w:cs="Times New Roman"/>
                <w:lang w:val="en-GB"/>
              </w:rPr>
              <w:t>;</w:t>
            </w:r>
          </w:p>
          <w:p w14:paraId="4DF2D1B0" w14:textId="5251ECDE" w:rsidR="00EB0989" w:rsidRPr="009E74AA" w:rsidRDefault="00EB0989" w:rsidP="00B771E2">
            <w:pPr>
              <w:jc w:val="both"/>
              <w:rPr>
                <w:rFonts w:ascii="Times New Roman" w:hAnsi="Times New Roman" w:cs="Times New Roman"/>
                <w:lang w:val="en-GB"/>
              </w:rPr>
            </w:pPr>
            <w:r>
              <w:rPr>
                <w:rFonts w:ascii="Times New Roman" w:hAnsi="Times New Roman" w:cs="Times New Roman"/>
                <w:lang w:val="en-GB"/>
              </w:rPr>
              <w:t>- …</w:t>
            </w:r>
          </w:p>
        </w:tc>
      </w:tr>
    </w:tbl>
    <w:p w14:paraId="30358497" w14:textId="105B63C6" w:rsidR="002F48CD" w:rsidRDefault="002F48CD" w:rsidP="008641E2">
      <w:pPr>
        <w:spacing w:after="0"/>
        <w:rPr>
          <w:rFonts w:ascii="Times New Roman" w:hAnsi="Times New Roman" w:cs="Times New Roman"/>
          <w:lang w:val="en-GB"/>
        </w:rPr>
      </w:pPr>
    </w:p>
    <w:p w14:paraId="1D0F544F" w14:textId="70222912" w:rsidR="00FF3BC2" w:rsidRDefault="00FF3BC2" w:rsidP="008641E2">
      <w:pPr>
        <w:spacing w:after="0"/>
        <w:rPr>
          <w:rFonts w:ascii="Times New Roman" w:hAnsi="Times New Roman" w:cs="Times New Roman"/>
          <w:lang w:val="en-GB"/>
        </w:rPr>
      </w:pPr>
    </w:p>
    <w:p w14:paraId="698E9797" w14:textId="6CC484E3" w:rsidR="00FF3BC2" w:rsidRPr="009E74AA" w:rsidRDefault="00FF3BC2" w:rsidP="00E73535">
      <w:pPr>
        <w:spacing w:after="0"/>
        <w:jc w:val="center"/>
        <w:rPr>
          <w:rFonts w:ascii="Times New Roman" w:hAnsi="Times New Roman" w:cs="Times New Roman"/>
          <w:lang w:val="en-GB"/>
        </w:rPr>
      </w:pPr>
      <w:r>
        <w:rPr>
          <w:rFonts w:ascii="Times New Roman" w:hAnsi="Times New Roman" w:cs="Times New Roman"/>
          <w:lang w:val="en-GB"/>
        </w:rPr>
        <w:t>__________________________</w:t>
      </w:r>
    </w:p>
    <w:sectPr w:rsidR="00FF3BC2" w:rsidRPr="009E74AA" w:rsidSect="00E73535">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1ACE1" w14:textId="77777777" w:rsidR="006C3C5B" w:rsidRDefault="006C3C5B" w:rsidP="001278D2">
      <w:pPr>
        <w:spacing w:after="0" w:line="240" w:lineRule="auto"/>
      </w:pPr>
      <w:r>
        <w:separator/>
      </w:r>
    </w:p>
  </w:endnote>
  <w:endnote w:type="continuationSeparator" w:id="0">
    <w:p w14:paraId="59D1A5B3" w14:textId="77777777" w:rsidR="006C3C5B" w:rsidRDefault="006C3C5B" w:rsidP="0012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0270" w14:textId="77777777" w:rsidR="00BF1297" w:rsidRDefault="00BF1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0386" w14:textId="77777777" w:rsidR="00BF1297" w:rsidRDefault="00BF1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3FF4" w14:textId="77777777" w:rsidR="00BF1297" w:rsidRDefault="00BF1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20324" w14:textId="77777777" w:rsidR="006C3C5B" w:rsidRDefault="006C3C5B" w:rsidP="001278D2">
      <w:pPr>
        <w:spacing w:after="0" w:line="240" w:lineRule="auto"/>
      </w:pPr>
      <w:r>
        <w:separator/>
      </w:r>
    </w:p>
  </w:footnote>
  <w:footnote w:type="continuationSeparator" w:id="0">
    <w:p w14:paraId="3DFA4B69" w14:textId="77777777" w:rsidR="006C3C5B" w:rsidRDefault="006C3C5B" w:rsidP="0012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0FC7" w14:textId="77777777" w:rsidR="00BF1297" w:rsidRDefault="00BF1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75918"/>
      <w:docPartObj>
        <w:docPartGallery w:val="Page Numbers (Top of Page)"/>
        <w:docPartUnique/>
      </w:docPartObj>
    </w:sdtPr>
    <w:sdtEndPr/>
    <w:sdtContent>
      <w:p w14:paraId="5338A476" w14:textId="30D46B40" w:rsidR="002430E0" w:rsidRDefault="002430E0">
        <w:pPr>
          <w:pStyle w:val="Header"/>
          <w:jc w:val="center"/>
        </w:pPr>
        <w:r>
          <w:fldChar w:fldCharType="begin"/>
        </w:r>
        <w:r>
          <w:instrText>PAGE   \* MERGEFORMAT</w:instrText>
        </w:r>
        <w:r>
          <w:fldChar w:fldCharType="separate"/>
        </w:r>
        <w:r w:rsidR="00BF1297">
          <w:rPr>
            <w:noProof/>
          </w:rPr>
          <w:t>8</w:t>
        </w:r>
        <w:r>
          <w:fldChar w:fldCharType="end"/>
        </w:r>
      </w:p>
    </w:sdtContent>
  </w:sdt>
  <w:p w14:paraId="60548843" w14:textId="0959C073" w:rsidR="006F5861" w:rsidRPr="001278D2" w:rsidRDefault="006F5861" w:rsidP="001278D2">
    <w:pPr>
      <w:pStyle w:val="Header"/>
      <w:jc w:val="right"/>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CF20" w14:textId="59CB5B3B" w:rsidR="00BF1297" w:rsidRPr="00BF1297" w:rsidRDefault="00BF1297" w:rsidP="00BF1297">
    <w:pPr>
      <w:pStyle w:val="Header"/>
      <w:jc w:val="right"/>
      <w:rPr>
        <w:rFonts w:ascii="Times New Roman" w:hAnsi="Times New Roman" w:cs="Times New Roman"/>
        <w:b/>
        <w:lang w:val="en-US"/>
      </w:rPr>
    </w:pPr>
    <w:bookmarkStart w:id="0" w:name="_GoBack"/>
    <w:r w:rsidRPr="00BF1297">
      <w:rPr>
        <w:rFonts w:ascii="Times New Roman" w:hAnsi="Times New Roman" w:cs="Times New Roman"/>
        <w:b/>
        <w:lang w:val="en-US"/>
      </w:rPr>
      <w:t>Draft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CDC"/>
    <w:multiLevelType w:val="hybridMultilevel"/>
    <w:tmpl w:val="DDEAD2FE"/>
    <w:lvl w:ilvl="0" w:tplc="FE42C2F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04136C8"/>
    <w:multiLevelType w:val="hybridMultilevel"/>
    <w:tmpl w:val="860E63B6"/>
    <w:lvl w:ilvl="0" w:tplc="FE42C2F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D5394E"/>
    <w:multiLevelType w:val="hybridMultilevel"/>
    <w:tmpl w:val="6E947FE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206D3B29"/>
    <w:multiLevelType w:val="hybridMultilevel"/>
    <w:tmpl w:val="0AE672C4"/>
    <w:lvl w:ilvl="0" w:tplc="FE42C2FC">
      <w:start w:val="202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EF472AA"/>
    <w:multiLevelType w:val="multilevel"/>
    <w:tmpl w:val="68CE1F10"/>
    <w:lvl w:ilvl="0">
      <w:start w:val="1"/>
      <w:numFmt w:val="decimal"/>
      <w:lvlText w:val="%1."/>
      <w:lvlJc w:val="left"/>
      <w:pPr>
        <w:ind w:left="644"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BE0CAB"/>
    <w:multiLevelType w:val="hybridMultilevel"/>
    <w:tmpl w:val="1136BBAA"/>
    <w:lvl w:ilvl="0" w:tplc="FE42C2FC">
      <w:start w:val="202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FDC463F"/>
    <w:multiLevelType w:val="hybridMultilevel"/>
    <w:tmpl w:val="55644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8093AEE"/>
    <w:multiLevelType w:val="hybridMultilevel"/>
    <w:tmpl w:val="1BC85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FDF757A"/>
    <w:multiLevelType w:val="hybridMultilevel"/>
    <w:tmpl w:val="E018A2A4"/>
    <w:lvl w:ilvl="0" w:tplc="FE42C2FC">
      <w:start w:val="5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37"/>
    <w:rsid w:val="00002EB1"/>
    <w:rsid w:val="0001519F"/>
    <w:rsid w:val="00023E75"/>
    <w:rsid w:val="00032F97"/>
    <w:rsid w:val="00034BCB"/>
    <w:rsid w:val="00041778"/>
    <w:rsid w:val="000546B3"/>
    <w:rsid w:val="00060CE0"/>
    <w:rsid w:val="00085562"/>
    <w:rsid w:val="000855D3"/>
    <w:rsid w:val="000A52F6"/>
    <w:rsid w:val="000F53DC"/>
    <w:rsid w:val="00117D10"/>
    <w:rsid w:val="001278D2"/>
    <w:rsid w:val="0014051F"/>
    <w:rsid w:val="0015538B"/>
    <w:rsid w:val="00162AD8"/>
    <w:rsid w:val="0016785F"/>
    <w:rsid w:val="00170E19"/>
    <w:rsid w:val="00180263"/>
    <w:rsid w:val="001828D4"/>
    <w:rsid w:val="001829E4"/>
    <w:rsid w:val="00187463"/>
    <w:rsid w:val="001B7AF9"/>
    <w:rsid w:val="001F5E36"/>
    <w:rsid w:val="00210B8F"/>
    <w:rsid w:val="00225E44"/>
    <w:rsid w:val="00236DFB"/>
    <w:rsid w:val="002430E0"/>
    <w:rsid w:val="0024373F"/>
    <w:rsid w:val="002500CB"/>
    <w:rsid w:val="00261476"/>
    <w:rsid w:val="00261C0B"/>
    <w:rsid w:val="002705F3"/>
    <w:rsid w:val="002956B5"/>
    <w:rsid w:val="0029763C"/>
    <w:rsid w:val="002A3935"/>
    <w:rsid w:val="002B35BB"/>
    <w:rsid w:val="002B54FA"/>
    <w:rsid w:val="002D7A53"/>
    <w:rsid w:val="002F06AD"/>
    <w:rsid w:val="002F3F35"/>
    <w:rsid w:val="002F48CD"/>
    <w:rsid w:val="002F5D97"/>
    <w:rsid w:val="00304A39"/>
    <w:rsid w:val="00325DE5"/>
    <w:rsid w:val="00352C57"/>
    <w:rsid w:val="00356567"/>
    <w:rsid w:val="003729DF"/>
    <w:rsid w:val="00387B11"/>
    <w:rsid w:val="003933A0"/>
    <w:rsid w:val="003A117A"/>
    <w:rsid w:val="003C2A46"/>
    <w:rsid w:val="00410092"/>
    <w:rsid w:val="00411A6C"/>
    <w:rsid w:val="00441AFD"/>
    <w:rsid w:val="00444EAE"/>
    <w:rsid w:val="00454344"/>
    <w:rsid w:val="004D43DD"/>
    <w:rsid w:val="004E69D5"/>
    <w:rsid w:val="005031C1"/>
    <w:rsid w:val="00522036"/>
    <w:rsid w:val="00560965"/>
    <w:rsid w:val="00562D8D"/>
    <w:rsid w:val="005632A9"/>
    <w:rsid w:val="005837A8"/>
    <w:rsid w:val="00584C88"/>
    <w:rsid w:val="005915A7"/>
    <w:rsid w:val="00591ECC"/>
    <w:rsid w:val="005A6DBF"/>
    <w:rsid w:val="005C3D41"/>
    <w:rsid w:val="005C7955"/>
    <w:rsid w:val="005D7689"/>
    <w:rsid w:val="005E728B"/>
    <w:rsid w:val="00602E4A"/>
    <w:rsid w:val="00605A55"/>
    <w:rsid w:val="0062001B"/>
    <w:rsid w:val="006300F5"/>
    <w:rsid w:val="0063337D"/>
    <w:rsid w:val="0063532D"/>
    <w:rsid w:val="006434D3"/>
    <w:rsid w:val="00652E44"/>
    <w:rsid w:val="006740EC"/>
    <w:rsid w:val="006752A8"/>
    <w:rsid w:val="006753FE"/>
    <w:rsid w:val="006968B7"/>
    <w:rsid w:val="006C3C5B"/>
    <w:rsid w:val="006F5861"/>
    <w:rsid w:val="007260E1"/>
    <w:rsid w:val="007272F8"/>
    <w:rsid w:val="007701D5"/>
    <w:rsid w:val="00773892"/>
    <w:rsid w:val="00781FC0"/>
    <w:rsid w:val="007A3562"/>
    <w:rsid w:val="007A4D35"/>
    <w:rsid w:val="007C424F"/>
    <w:rsid w:val="007C74B6"/>
    <w:rsid w:val="007E30CC"/>
    <w:rsid w:val="007E71C4"/>
    <w:rsid w:val="007F338C"/>
    <w:rsid w:val="007F3434"/>
    <w:rsid w:val="00802EDE"/>
    <w:rsid w:val="00811ADB"/>
    <w:rsid w:val="00815D50"/>
    <w:rsid w:val="00846DF8"/>
    <w:rsid w:val="00850A22"/>
    <w:rsid w:val="00852920"/>
    <w:rsid w:val="008641E2"/>
    <w:rsid w:val="00864C6C"/>
    <w:rsid w:val="008A1BD3"/>
    <w:rsid w:val="008C689F"/>
    <w:rsid w:val="008D1EBE"/>
    <w:rsid w:val="008D722D"/>
    <w:rsid w:val="00915827"/>
    <w:rsid w:val="00921E5E"/>
    <w:rsid w:val="00932303"/>
    <w:rsid w:val="0094453F"/>
    <w:rsid w:val="00954D51"/>
    <w:rsid w:val="009558CF"/>
    <w:rsid w:val="0097450C"/>
    <w:rsid w:val="00987588"/>
    <w:rsid w:val="00995BDF"/>
    <w:rsid w:val="009B4506"/>
    <w:rsid w:val="009C1C08"/>
    <w:rsid w:val="009D02D8"/>
    <w:rsid w:val="009E74AA"/>
    <w:rsid w:val="00A0712F"/>
    <w:rsid w:val="00A170CB"/>
    <w:rsid w:val="00A336F6"/>
    <w:rsid w:val="00A60BEA"/>
    <w:rsid w:val="00A62399"/>
    <w:rsid w:val="00A63D21"/>
    <w:rsid w:val="00A7136F"/>
    <w:rsid w:val="00A81448"/>
    <w:rsid w:val="00A8307F"/>
    <w:rsid w:val="00A91089"/>
    <w:rsid w:val="00A96558"/>
    <w:rsid w:val="00AB0865"/>
    <w:rsid w:val="00AB2257"/>
    <w:rsid w:val="00AB4063"/>
    <w:rsid w:val="00AC4F37"/>
    <w:rsid w:val="00AD19DC"/>
    <w:rsid w:val="00AD1A5C"/>
    <w:rsid w:val="00AF1FE4"/>
    <w:rsid w:val="00B31C51"/>
    <w:rsid w:val="00B4271D"/>
    <w:rsid w:val="00B437E2"/>
    <w:rsid w:val="00B67124"/>
    <w:rsid w:val="00B771E2"/>
    <w:rsid w:val="00B84469"/>
    <w:rsid w:val="00B925C0"/>
    <w:rsid w:val="00BA693F"/>
    <w:rsid w:val="00BB77F3"/>
    <w:rsid w:val="00BC14FC"/>
    <w:rsid w:val="00BC614F"/>
    <w:rsid w:val="00BF1297"/>
    <w:rsid w:val="00C10160"/>
    <w:rsid w:val="00C11781"/>
    <w:rsid w:val="00C44B6F"/>
    <w:rsid w:val="00C4796B"/>
    <w:rsid w:val="00C523FE"/>
    <w:rsid w:val="00C87E32"/>
    <w:rsid w:val="00C92939"/>
    <w:rsid w:val="00C951F1"/>
    <w:rsid w:val="00CA4074"/>
    <w:rsid w:val="00CB3546"/>
    <w:rsid w:val="00CC1ED6"/>
    <w:rsid w:val="00CE32BD"/>
    <w:rsid w:val="00D0064D"/>
    <w:rsid w:val="00D02AD3"/>
    <w:rsid w:val="00D03181"/>
    <w:rsid w:val="00D03A7C"/>
    <w:rsid w:val="00D06D29"/>
    <w:rsid w:val="00D157E9"/>
    <w:rsid w:val="00D402AC"/>
    <w:rsid w:val="00D4432E"/>
    <w:rsid w:val="00D531AE"/>
    <w:rsid w:val="00D5753D"/>
    <w:rsid w:val="00D66480"/>
    <w:rsid w:val="00D768BC"/>
    <w:rsid w:val="00D77031"/>
    <w:rsid w:val="00D77495"/>
    <w:rsid w:val="00DB1CF8"/>
    <w:rsid w:val="00DB377D"/>
    <w:rsid w:val="00DC1D8B"/>
    <w:rsid w:val="00DD663F"/>
    <w:rsid w:val="00DE3AA3"/>
    <w:rsid w:val="00DE723E"/>
    <w:rsid w:val="00E06C7C"/>
    <w:rsid w:val="00E1624D"/>
    <w:rsid w:val="00E25325"/>
    <w:rsid w:val="00E46445"/>
    <w:rsid w:val="00E73535"/>
    <w:rsid w:val="00E90515"/>
    <w:rsid w:val="00EB0989"/>
    <w:rsid w:val="00EF7FE5"/>
    <w:rsid w:val="00F11719"/>
    <w:rsid w:val="00F13CAE"/>
    <w:rsid w:val="00F1535F"/>
    <w:rsid w:val="00F15D0C"/>
    <w:rsid w:val="00F16467"/>
    <w:rsid w:val="00F25B1B"/>
    <w:rsid w:val="00F25C45"/>
    <w:rsid w:val="00F26581"/>
    <w:rsid w:val="00F27052"/>
    <w:rsid w:val="00F57AA2"/>
    <w:rsid w:val="00F57B8E"/>
    <w:rsid w:val="00F608E4"/>
    <w:rsid w:val="00F74203"/>
    <w:rsid w:val="00FB0367"/>
    <w:rsid w:val="00FB22A0"/>
    <w:rsid w:val="00FB4187"/>
    <w:rsid w:val="00FB6B3A"/>
    <w:rsid w:val="00FC1DEB"/>
    <w:rsid w:val="00FC2035"/>
    <w:rsid w:val="00FD4EE7"/>
    <w:rsid w:val="00FE268B"/>
    <w:rsid w:val="00FE3204"/>
    <w:rsid w:val="00FF3BC2"/>
    <w:rsid w:val="00FF7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70AA"/>
  <w15:chartTrackingRefBased/>
  <w15:docId w15:val="{57DE1B59-BEBB-448A-88A5-A5D24706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2D8"/>
    <w:pPr>
      <w:ind w:left="720"/>
      <w:contextualSpacing/>
    </w:pPr>
  </w:style>
  <w:style w:type="character" w:styleId="Hyperlink">
    <w:name w:val="Hyperlink"/>
    <w:basedOn w:val="DefaultParagraphFont"/>
    <w:uiPriority w:val="99"/>
    <w:unhideWhenUsed/>
    <w:rsid w:val="00DB1CF8"/>
    <w:rPr>
      <w:color w:val="0563C1" w:themeColor="hyperlink"/>
      <w:u w:val="single"/>
    </w:rPr>
  </w:style>
  <w:style w:type="paragraph" w:styleId="Header">
    <w:name w:val="header"/>
    <w:basedOn w:val="Normal"/>
    <w:link w:val="HeaderChar"/>
    <w:uiPriority w:val="99"/>
    <w:unhideWhenUsed/>
    <w:rsid w:val="001278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78D2"/>
  </w:style>
  <w:style w:type="paragraph" w:styleId="Footer">
    <w:name w:val="footer"/>
    <w:basedOn w:val="Normal"/>
    <w:link w:val="FooterChar"/>
    <w:uiPriority w:val="99"/>
    <w:unhideWhenUsed/>
    <w:rsid w:val="001278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78D2"/>
  </w:style>
  <w:style w:type="character" w:styleId="CommentReference">
    <w:name w:val="annotation reference"/>
    <w:basedOn w:val="DefaultParagraphFont"/>
    <w:uiPriority w:val="99"/>
    <w:semiHidden/>
    <w:unhideWhenUsed/>
    <w:rsid w:val="000F53DC"/>
    <w:rPr>
      <w:sz w:val="16"/>
      <w:szCs w:val="16"/>
    </w:rPr>
  </w:style>
  <w:style w:type="paragraph" w:styleId="CommentText">
    <w:name w:val="annotation text"/>
    <w:basedOn w:val="Normal"/>
    <w:link w:val="CommentTextChar"/>
    <w:uiPriority w:val="99"/>
    <w:semiHidden/>
    <w:unhideWhenUsed/>
    <w:rsid w:val="000F53DC"/>
    <w:pPr>
      <w:spacing w:line="240" w:lineRule="auto"/>
    </w:pPr>
    <w:rPr>
      <w:sz w:val="20"/>
      <w:szCs w:val="20"/>
    </w:rPr>
  </w:style>
  <w:style w:type="character" w:customStyle="1" w:styleId="CommentTextChar">
    <w:name w:val="Comment Text Char"/>
    <w:basedOn w:val="DefaultParagraphFont"/>
    <w:link w:val="CommentText"/>
    <w:uiPriority w:val="99"/>
    <w:semiHidden/>
    <w:rsid w:val="000F53DC"/>
    <w:rPr>
      <w:sz w:val="20"/>
      <w:szCs w:val="20"/>
    </w:rPr>
  </w:style>
  <w:style w:type="paragraph" w:styleId="CommentSubject">
    <w:name w:val="annotation subject"/>
    <w:basedOn w:val="CommentText"/>
    <w:next w:val="CommentText"/>
    <w:link w:val="CommentSubjectChar"/>
    <w:uiPriority w:val="99"/>
    <w:semiHidden/>
    <w:unhideWhenUsed/>
    <w:rsid w:val="000F53DC"/>
    <w:rPr>
      <w:b/>
      <w:bCs/>
    </w:rPr>
  </w:style>
  <w:style w:type="character" w:customStyle="1" w:styleId="CommentSubjectChar">
    <w:name w:val="Comment Subject Char"/>
    <w:basedOn w:val="CommentTextChar"/>
    <w:link w:val="CommentSubject"/>
    <w:uiPriority w:val="99"/>
    <w:semiHidden/>
    <w:rsid w:val="000F53DC"/>
    <w:rPr>
      <w:b/>
      <w:bCs/>
      <w:sz w:val="20"/>
      <w:szCs w:val="20"/>
    </w:rPr>
  </w:style>
  <w:style w:type="paragraph" w:styleId="BalloonText">
    <w:name w:val="Balloon Text"/>
    <w:basedOn w:val="Normal"/>
    <w:link w:val="BalloonTextChar"/>
    <w:uiPriority w:val="99"/>
    <w:semiHidden/>
    <w:unhideWhenUsed/>
    <w:rsid w:val="000F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DC"/>
    <w:rPr>
      <w:rFonts w:ascii="Segoe UI" w:hAnsi="Segoe UI" w:cs="Segoe UI"/>
      <w:sz w:val="18"/>
      <w:szCs w:val="18"/>
    </w:rPr>
  </w:style>
  <w:style w:type="character" w:styleId="FollowedHyperlink">
    <w:name w:val="FollowedHyperlink"/>
    <w:basedOn w:val="DefaultParagraphFont"/>
    <w:uiPriority w:val="99"/>
    <w:semiHidden/>
    <w:unhideWhenUsed/>
    <w:rsid w:val="00FB22A0"/>
    <w:rPr>
      <w:color w:val="954F72" w:themeColor="followedHyperlink"/>
      <w:u w:val="single"/>
    </w:rPr>
  </w:style>
  <w:style w:type="paragraph" w:customStyle="1" w:styleId="Default">
    <w:name w:val="Default"/>
    <w:rsid w:val="00F270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8114">
      <w:bodyDiv w:val="1"/>
      <w:marLeft w:val="0"/>
      <w:marRight w:val="0"/>
      <w:marTop w:val="0"/>
      <w:marBottom w:val="0"/>
      <w:divBdr>
        <w:top w:val="none" w:sz="0" w:space="0" w:color="auto"/>
        <w:left w:val="none" w:sz="0" w:space="0" w:color="auto"/>
        <w:bottom w:val="none" w:sz="0" w:space="0" w:color="auto"/>
        <w:right w:val="none" w:sz="0" w:space="0" w:color="auto"/>
      </w:divBdr>
    </w:div>
    <w:div w:id="1585410838">
      <w:bodyDiv w:val="1"/>
      <w:marLeft w:val="0"/>
      <w:marRight w:val="0"/>
      <w:marTop w:val="0"/>
      <w:marBottom w:val="0"/>
      <w:divBdr>
        <w:top w:val="none" w:sz="0" w:space="0" w:color="auto"/>
        <w:left w:val="none" w:sz="0" w:space="0" w:color="auto"/>
        <w:bottom w:val="none" w:sz="0" w:space="0" w:color="auto"/>
        <w:right w:val="none" w:sz="0" w:space="0" w:color="auto"/>
      </w:divBdr>
      <w:divsChild>
        <w:div w:id="406074240">
          <w:marLeft w:val="0"/>
          <w:marRight w:val="0"/>
          <w:marTop w:val="0"/>
          <w:marBottom w:val="0"/>
          <w:divBdr>
            <w:top w:val="none" w:sz="0" w:space="0" w:color="auto"/>
            <w:left w:val="none" w:sz="0" w:space="0" w:color="auto"/>
            <w:bottom w:val="none" w:sz="0" w:space="0" w:color="auto"/>
            <w:right w:val="none" w:sz="0" w:space="0" w:color="auto"/>
          </w:divBdr>
        </w:div>
      </w:divsChild>
    </w:div>
    <w:div w:id="2053773510">
      <w:bodyDiv w:val="1"/>
      <w:marLeft w:val="0"/>
      <w:marRight w:val="0"/>
      <w:marTop w:val="0"/>
      <w:marBottom w:val="0"/>
      <w:divBdr>
        <w:top w:val="none" w:sz="0" w:space="0" w:color="auto"/>
        <w:left w:val="none" w:sz="0" w:space="0" w:color="auto"/>
        <w:bottom w:val="none" w:sz="0" w:space="0" w:color="auto"/>
        <w:right w:val="none" w:sz="0" w:space="0" w:color="auto"/>
      </w:divBdr>
      <w:divsChild>
        <w:div w:id="846402788">
          <w:marLeft w:val="0"/>
          <w:marRight w:val="0"/>
          <w:marTop w:val="0"/>
          <w:marBottom w:val="0"/>
          <w:divBdr>
            <w:top w:val="none" w:sz="0" w:space="0" w:color="auto"/>
            <w:left w:val="none" w:sz="0" w:space="0" w:color="auto"/>
            <w:bottom w:val="none" w:sz="0" w:space="0" w:color="auto"/>
            <w:right w:val="none" w:sz="0" w:space="0" w:color="auto"/>
          </w:divBdr>
        </w:div>
        <w:div w:id="1853955722">
          <w:marLeft w:val="0"/>
          <w:marRight w:val="0"/>
          <w:marTop w:val="0"/>
          <w:marBottom w:val="0"/>
          <w:divBdr>
            <w:top w:val="none" w:sz="0" w:space="0" w:color="auto"/>
            <w:left w:val="none" w:sz="0" w:space="0" w:color="auto"/>
            <w:bottom w:val="none" w:sz="0" w:space="0" w:color="auto"/>
            <w:right w:val="none" w:sz="0" w:space="0" w:color="auto"/>
          </w:divBdr>
        </w:div>
        <w:div w:id="608438538">
          <w:marLeft w:val="0"/>
          <w:marRight w:val="0"/>
          <w:marTop w:val="0"/>
          <w:marBottom w:val="0"/>
          <w:divBdr>
            <w:top w:val="none" w:sz="0" w:space="0" w:color="auto"/>
            <w:left w:val="none" w:sz="0" w:space="0" w:color="auto"/>
            <w:bottom w:val="none" w:sz="0" w:space="0" w:color="auto"/>
            <w:right w:val="none" w:sz="0" w:space="0" w:color="auto"/>
          </w:divBdr>
        </w:div>
        <w:div w:id="1227104326">
          <w:marLeft w:val="0"/>
          <w:marRight w:val="0"/>
          <w:marTop w:val="0"/>
          <w:marBottom w:val="0"/>
          <w:divBdr>
            <w:top w:val="none" w:sz="0" w:space="0" w:color="auto"/>
            <w:left w:val="none" w:sz="0" w:space="0" w:color="auto"/>
            <w:bottom w:val="none" w:sz="0" w:space="0" w:color="auto"/>
            <w:right w:val="none" w:sz="0" w:space="0" w:color="auto"/>
          </w:divBdr>
        </w:div>
        <w:div w:id="53608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f.lt/vidaus-saugumo-fondo-program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f.lt/svvp-program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vsfsvvp.lt" TargetMode="External"/><Relationship Id="rId4" Type="http://schemas.openxmlformats.org/officeDocument/2006/relationships/webSettings" Target="webSettings.xml"/><Relationship Id="rId9" Type="http://schemas.openxmlformats.org/officeDocument/2006/relationships/hyperlink" Target="http://www.isf.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13377</Words>
  <Characters>7625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Jegerskaitė-Kinaitienė</dc:creator>
  <cp:keywords/>
  <dc:description/>
  <cp:lastModifiedBy>Dovilė Jegerskaitė-Kinaitienė</cp:lastModifiedBy>
  <cp:revision>6</cp:revision>
  <dcterms:created xsi:type="dcterms:W3CDTF">2023-06-20T12:56:00Z</dcterms:created>
  <dcterms:modified xsi:type="dcterms:W3CDTF">2023-06-20T13:10:00Z</dcterms:modified>
</cp:coreProperties>
</file>