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D003D" w14:textId="77777777" w:rsidR="00AC4F37" w:rsidRPr="00AC4F37" w:rsidRDefault="00AC4F37" w:rsidP="00AC4F37">
      <w:pPr>
        <w:spacing w:after="0"/>
        <w:jc w:val="center"/>
        <w:rPr>
          <w:rFonts w:ascii="Times New Roman" w:hAnsi="Times New Roman" w:cs="Times New Roman"/>
          <w:b/>
        </w:rPr>
      </w:pPr>
      <w:r w:rsidRPr="00AC4F37">
        <w:rPr>
          <w:rFonts w:ascii="Times New Roman" w:hAnsi="Times New Roman" w:cs="Times New Roman"/>
          <w:b/>
          <w:lang w:val="en-US"/>
        </w:rPr>
        <w:t xml:space="preserve">VERTINIMO </w:t>
      </w:r>
      <w:r w:rsidRPr="00AC4F37">
        <w:rPr>
          <w:rFonts w:ascii="Times New Roman" w:hAnsi="Times New Roman" w:cs="Times New Roman"/>
          <w:b/>
        </w:rPr>
        <w:t xml:space="preserve">PLANAS </w:t>
      </w:r>
    </w:p>
    <w:p w14:paraId="016EF670" w14:textId="77777777" w:rsidR="00987588" w:rsidRDefault="00AC4F37" w:rsidP="00AC4F37">
      <w:pPr>
        <w:spacing w:after="0"/>
        <w:jc w:val="center"/>
        <w:rPr>
          <w:rFonts w:ascii="Times New Roman" w:hAnsi="Times New Roman" w:cs="Times New Roman"/>
          <w:b/>
        </w:rPr>
      </w:pPr>
      <w:r w:rsidRPr="00AC4F37">
        <w:rPr>
          <w:rFonts w:ascii="Times New Roman" w:hAnsi="Times New Roman" w:cs="Times New Roman"/>
          <w:b/>
        </w:rPr>
        <w:t>SIENŲ VALDYMO IR VIZŲ POLITIKOS FINANSINĖS PARAMOS PRIEMONĖS, ĮTRAUKTOS Į INTEGRUOTO SIENŲ VALDYMO FONDĄ, IR VIDAUS SAU</w:t>
      </w:r>
      <w:r>
        <w:rPr>
          <w:rFonts w:ascii="Times New Roman" w:hAnsi="Times New Roman" w:cs="Times New Roman"/>
          <w:b/>
        </w:rPr>
        <w:t>GUMO FONDO 2021–2027 M. PROGRAMOM</w:t>
      </w:r>
      <w:r w:rsidRPr="00AC4F37">
        <w:rPr>
          <w:rFonts w:ascii="Times New Roman" w:hAnsi="Times New Roman" w:cs="Times New Roman"/>
          <w:b/>
        </w:rPr>
        <w:t>S</w:t>
      </w:r>
    </w:p>
    <w:p w14:paraId="18F0C4BD" w14:textId="77777777" w:rsidR="001278D2" w:rsidRDefault="001278D2" w:rsidP="00AC4F37">
      <w:pPr>
        <w:spacing w:after="0"/>
        <w:jc w:val="center"/>
        <w:rPr>
          <w:rFonts w:ascii="Times New Roman" w:hAnsi="Times New Roman" w:cs="Times New Roman"/>
          <w:b/>
        </w:rPr>
      </w:pPr>
    </w:p>
    <w:p w14:paraId="67B833EA" w14:textId="77777777" w:rsidR="00AC4F37" w:rsidRDefault="00AC4F37" w:rsidP="00C951F1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114"/>
        <w:gridCol w:w="11340"/>
      </w:tblGrid>
      <w:tr w:rsidR="00162AD8" w:rsidRPr="00162AD8" w14:paraId="563F52B7" w14:textId="77777777" w:rsidTr="002F48CD">
        <w:tc>
          <w:tcPr>
            <w:tcW w:w="3114" w:type="dxa"/>
          </w:tcPr>
          <w:p w14:paraId="20AC98A0" w14:textId="77777777" w:rsidR="00162AD8" w:rsidRPr="00162AD8" w:rsidRDefault="00162AD8" w:rsidP="009D02D8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>Vertinimo plano tikslas</w:t>
            </w:r>
          </w:p>
        </w:tc>
        <w:tc>
          <w:tcPr>
            <w:tcW w:w="11340" w:type="dxa"/>
          </w:tcPr>
          <w:p w14:paraId="1867F09E" w14:textId="77777777" w:rsidR="00162AD8" w:rsidRPr="00162AD8" w:rsidRDefault="00162AD8" w:rsidP="001278D2">
            <w:pPr>
              <w:pStyle w:val="ListParagraph"/>
              <w:numPr>
                <w:ilvl w:val="1"/>
                <w:numId w:val="1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 xml:space="preserve">Suplanuoti </w:t>
            </w:r>
            <w:r w:rsidR="009D02D8" w:rsidRPr="00162AD8">
              <w:rPr>
                <w:rFonts w:ascii="Times New Roman" w:hAnsi="Times New Roman" w:cs="Times New Roman"/>
              </w:rPr>
              <w:t>Sienų valdymo ir vizų politikos finansinės paramos priemonės, įtrauktos į Integruoto sienų valdymo fondą</w:t>
            </w:r>
            <w:r w:rsidRPr="00162AD8">
              <w:rPr>
                <w:rFonts w:ascii="Times New Roman" w:hAnsi="Times New Roman" w:cs="Times New Roman"/>
              </w:rPr>
              <w:t xml:space="preserve"> (toliau – SVVP)</w:t>
            </w:r>
            <w:r w:rsidR="009D02D8" w:rsidRPr="00162AD8">
              <w:rPr>
                <w:rFonts w:ascii="Times New Roman" w:hAnsi="Times New Roman" w:cs="Times New Roman"/>
              </w:rPr>
              <w:t xml:space="preserve">, </w:t>
            </w:r>
            <w:r w:rsidRPr="00162AD8">
              <w:rPr>
                <w:rFonts w:ascii="Times New Roman" w:hAnsi="Times New Roman" w:cs="Times New Roman"/>
              </w:rPr>
              <w:t xml:space="preserve">bei </w:t>
            </w:r>
            <w:r w:rsidR="009D02D8" w:rsidRPr="00162AD8">
              <w:rPr>
                <w:rFonts w:ascii="Times New Roman" w:hAnsi="Times New Roman" w:cs="Times New Roman"/>
              </w:rPr>
              <w:t xml:space="preserve">Vidaus saugumo fondo </w:t>
            </w:r>
            <w:r w:rsidRPr="00162AD8">
              <w:rPr>
                <w:rFonts w:ascii="Times New Roman" w:hAnsi="Times New Roman" w:cs="Times New Roman"/>
              </w:rPr>
              <w:t>(toliau – VSF) 2021–2027 m. programų (toliau kartu – programos) vertinimo procesą;</w:t>
            </w:r>
          </w:p>
          <w:p w14:paraId="6686A39B" w14:textId="77777777" w:rsidR="00162AD8" w:rsidRPr="00162AD8" w:rsidRDefault="00162AD8" w:rsidP="00FB0367">
            <w:pPr>
              <w:pStyle w:val="ListParagraph"/>
              <w:numPr>
                <w:ilvl w:val="1"/>
                <w:numId w:val="1"/>
              </w:numPr>
              <w:spacing w:after="120"/>
              <w:ind w:left="312" w:hanging="357"/>
              <w:rPr>
                <w:rFonts w:ascii="Times New Roman" w:hAnsi="Times New Roman" w:cs="Times New Roman"/>
              </w:rPr>
            </w:pPr>
            <w:r w:rsidRPr="00041778">
              <w:rPr>
                <w:rFonts w:ascii="Times New Roman" w:hAnsi="Times New Roman" w:cs="Times New Roman"/>
              </w:rPr>
              <w:t xml:space="preserve">Informuoti </w:t>
            </w:r>
            <w:r w:rsidRPr="004E69D5">
              <w:rPr>
                <w:rFonts w:ascii="Times New Roman" w:hAnsi="Times New Roman" w:cs="Times New Roman"/>
              </w:rPr>
              <w:t xml:space="preserve">Europos Komisiją, partnerius ir visuomenę </w:t>
            </w:r>
            <w:r w:rsidRPr="00041778">
              <w:rPr>
                <w:rFonts w:ascii="Times New Roman" w:hAnsi="Times New Roman" w:cs="Times New Roman"/>
              </w:rPr>
              <w:t>apie planuojamus programų vertinimus.</w:t>
            </w:r>
          </w:p>
        </w:tc>
      </w:tr>
      <w:tr w:rsidR="00C951F1" w:rsidRPr="00162AD8" w14:paraId="2671EAFE" w14:textId="77777777" w:rsidTr="002F48CD">
        <w:tc>
          <w:tcPr>
            <w:tcW w:w="3114" w:type="dxa"/>
          </w:tcPr>
          <w:p w14:paraId="5655156A" w14:textId="77777777" w:rsidR="00C951F1" w:rsidRPr="00162AD8" w:rsidRDefault="003A117A" w:rsidP="009D02D8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>Vertinamos programos</w:t>
            </w:r>
          </w:p>
        </w:tc>
        <w:tc>
          <w:tcPr>
            <w:tcW w:w="11340" w:type="dxa"/>
          </w:tcPr>
          <w:p w14:paraId="192362AB" w14:textId="77777777" w:rsidR="009D02D8" w:rsidRPr="00162AD8" w:rsidRDefault="00162AD8" w:rsidP="00DB1CF8">
            <w:pPr>
              <w:pStyle w:val="ListParagraph"/>
              <w:numPr>
                <w:ilvl w:val="1"/>
                <w:numId w:val="1"/>
              </w:numPr>
              <w:ind w:left="316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>SVVP</w:t>
            </w:r>
            <w:r w:rsidR="009D02D8" w:rsidRPr="00162AD8">
              <w:rPr>
                <w:rFonts w:ascii="Times New Roman" w:hAnsi="Times New Roman" w:cs="Times New Roman"/>
              </w:rPr>
              <w:t xml:space="preserve"> 2021–2027 m. programa</w:t>
            </w:r>
            <w:r w:rsidR="00DB1CF8" w:rsidRPr="00162AD8">
              <w:rPr>
                <w:rFonts w:ascii="Times New Roman" w:hAnsi="Times New Roman" w:cs="Times New Roman"/>
              </w:rPr>
              <w:t xml:space="preserve"> (programa skelbiama tinklapyje: </w:t>
            </w:r>
            <w:hyperlink r:id="rId7" w:history="1">
              <w:r w:rsidR="00DB1CF8" w:rsidRPr="00162AD8">
                <w:rPr>
                  <w:rStyle w:val="Hyperlink"/>
                  <w:rFonts w:ascii="Times New Roman" w:hAnsi="Times New Roman" w:cs="Times New Roman"/>
                </w:rPr>
                <w:t>https://www.isf.lt/svvp-programa</w:t>
              </w:r>
            </w:hyperlink>
            <w:r w:rsidR="00DB1CF8" w:rsidRPr="00162AD8">
              <w:rPr>
                <w:rFonts w:ascii="Times New Roman" w:hAnsi="Times New Roman" w:cs="Times New Roman"/>
              </w:rPr>
              <w:t>)</w:t>
            </w:r>
            <w:r w:rsidR="009D02D8" w:rsidRPr="00162AD8">
              <w:rPr>
                <w:rFonts w:ascii="Times New Roman" w:hAnsi="Times New Roman" w:cs="Times New Roman"/>
              </w:rPr>
              <w:t>;</w:t>
            </w:r>
          </w:p>
          <w:p w14:paraId="7D8D07D1" w14:textId="77777777" w:rsidR="00C951F1" w:rsidRPr="00162AD8" w:rsidRDefault="00162AD8" w:rsidP="00FB0367">
            <w:pPr>
              <w:pStyle w:val="ListParagraph"/>
              <w:numPr>
                <w:ilvl w:val="1"/>
                <w:numId w:val="1"/>
              </w:numPr>
              <w:spacing w:after="120"/>
              <w:ind w:left="312" w:hanging="357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 xml:space="preserve">VSF </w:t>
            </w:r>
            <w:r w:rsidR="009D02D8" w:rsidRPr="00162AD8">
              <w:rPr>
                <w:rFonts w:ascii="Times New Roman" w:hAnsi="Times New Roman" w:cs="Times New Roman"/>
              </w:rPr>
              <w:t>2021–2027 m. programa</w:t>
            </w:r>
            <w:r w:rsidR="00DB1CF8" w:rsidRPr="00162AD8">
              <w:rPr>
                <w:rFonts w:ascii="Times New Roman" w:hAnsi="Times New Roman" w:cs="Times New Roman"/>
              </w:rPr>
              <w:t xml:space="preserve"> (programa skelbiama tinklapyje: </w:t>
            </w:r>
            <w:hyperlink r:id="rId8" w:history="1">
              <w:r w:rsidR="00DB1CF8" w:rsidRPr="00162AD8">
                <w:rPr>
                  <w:rStyle w:val="Hyperlink"/>
                  <w:rFonts w:ascii="Times New Roman" w:hAnsi="Times New Roman" w:cs="Times New Roman"/>
                </w:rPr>
                <w:t>https://www.isf.lt/vidaus-saugumo-fondo-programa</w:t>
              </w:r>
            </w:hyperlink>
            <w:r w:rsidR="00DB1CF8" w:rsidRPr="00162AD8">
              <w:rPr>
                <w:rFonts w:ascii="Times New Roman" w:hAnsi="Times New Roman" w:cs="Times New Roman"/>
              </w:rPr>
              <w:t>)</w:t>
            </w:r>
            <w:r w:rsidR="009D02D8" w:rsidRPr="00162AD8">
              <w:rPr>
                <w:rFonts w:ascii="Times New Roman" w:hAnsi="Times New Roman" w:cs="Times New Roman"/>
              </w:rPr>
              <w:t>.</w:t>
            </w:r>
          </w:p>
        </w:tc>
      </w:tr>
      <w:tr w:rsidR="00162AD8" w:rsidRPr="00162AD8" w14:paraId="6A2380A4" w14:textId="77777777" w:rsidTr="002F48CD">
        <w:tc>
          <w:tcPr>
            <w:tcW w:w="3114" w:type="dxa"/>
          </w:tcPr>
          <w:p w14:paraId="7B50D4BB" w14:textId="77777777" w:rsidR="00162AD8" w:rsidRPr="00162AD8" w:rsidRDefault="00041778" w:rsidP="00261C0B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Vertinimų rūšys ir jų</w:t>
            </w:r>
            <w:r w:rsidR="00325DE5">
              <w:rPr>
                <w:rFonts w:ascii="Times New Roman" w:hAnsi="Times New Roman" w:cs="Times New Roman"/>
              </w:rPr>
              <w:t xml:space="preserve"> terminai</w:t>
            </w:r>
          </w:p>
        </w:tc>
        <w:tc>
          <w:tcPr>
            <w:tcW w:w="11340" w:type="dxa"/>
          </w:tcPr>
          <w:p w14:paraId="66FE0E8E" w14:textId="20B7F9AF" w:rsidR="00162AD8" w:rsidRPr="00162AD8" w:rsidRDefault="00162AD8" w:rsidP="00FB0367">
            <w:pPr>
              <w:pStyle w:val="ListParagraph"/>
              <w:numPr>
                <w:ilvl w:val="1"/>
                <w:numId w:val="1"/>
              </w:numPr>
              <w:spacing w:after="120"/>
              <w:ind w:left="318" w:hanging="357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>Laikotarpio vidurio vertinimas – iki 2024 m. kovo 31 d.</w:t>
            </w:r>
            <w:r w:rsidR="00B771E2" w:rsidRPr="00B771E2">
              <w:rPr>
                <w:rFonts w:ascii="Times New Roman" w:hAnsi="Times New Roman" w:cs="Times New Roman"/>
              </w:rPr>
              <w:t xml:space="preserve"> (ar kito Europos Komisijos nustatyto termino)</w:t>
            </w:r>
          </w:p>
          <w:p w14:paraId="3B814AE8" w14:textId="3B038CE3" w:rsidR="00162AD8" w:rsidRPr="00162AD8" w:rsidRDefault="00162AD8" w:rsidP="00FB0367">
            <w:pPr>
              <w:pStyle w:val="ListParagraph"/>
              <w:numPr>
                <w:ilvl w:val="1"/>
                <w:numId w:val="1"/>
              </w:numPr>
              <w:spacing w:after="120"/>
              <w:ind w:left="318" w:hanging="357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 xml:space="preserve">Galutinis </w:t>
            </w:r>
            <w:r w:rsidR="00684B34">
              <w:rPr>
                <w:rFonts w:ascii="Times New Roman" w:hAnsi="Times New Roman" w:cs="Times New Roman"/>
              </w:rPr>
              <w:t xml:space="preserve">(poveikio) </w:t>
            </w:r>
            <w:r w:rsidRPr="00162AD8">
              <w:rPr>
                <w:rFonts w:ascii="Times New Roman" w:hAnsi="Times New Roman" w:cs="Times New Roman"/>
              </w:rPr>
              <w:t>vertinimas – iki 2029 m. birželio 30 d.</w:t>
            </w:r>
            <w:r w:rsidR="00B771E2" w:rsidRPr="00B771E2">
              <w:rPr>
                <w:rFonts w:ascii="Times New Roman" w:hAnsi="Times New Roman" w:cs="Times New Roman"/>
              </w:rPr>
              <w:t xml:space="preserve"> (ar kito Europos Komisijos nustatyto termino)</w:t>
            </w:r>
          </w:p>
        </w:tc>
      </w:tr>
      <w:tr w:rsidR="001278D2" w:rsidRPr="00162AD8" w14:paraId="39A24497" w14:textId="77777777" w:rsidTr="002F48CD">
        <w:tc>
          <w:tcPr>
            <w:tcW w:w="3114" w:type="dxa"/>
          </w:tcPr>
          <w:p w14:paraId="6F0B1607" w14:textId="77777777" w:rsidR="001278D2" w:rsidRPr="00162AD8" w:rsidRDefault="001278D2" w:rsidP="001278D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>Vertinamas programų įgyvendinimo laikotarpis</w:t>
            </w:r>
          </w:p>
        </w:tc>
        <w:tc>
          <w:tcPr>
            <w:tcW w:w="11340" w:type="dxa"/>
          </w:tcPr>
          <w:p w14:paraId="1758ED73" w14:textId="77777777" w:rsidR="001278D2" w:rsidRPr="00162AD8" w:rsidRDefault="001278D2" w:rsidP="00FB0367">
            <w:pPr>
              <w:pStyle w:val="ListParagraph"/>
              <w:numPr>
                <w:ilvl w:val="1"/>
                <w:numId w:val="1"/>
              </w:numPr>
              <w:spacing w:after="120"/>
              <w:ind w:left="316" w:hanging="357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>Laikotarpio vidurio vertinimui – 2021-01-01 – 2023-12-30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99A25A0" w14:textId="079D64B7" w:rsidR="001278D2" w:rsidRPr="00162AD8" w:rsidRDefault="001278D2" w:rsidP="00FB0367">
            <w:pPr>
              <w:pStyle w:val="ListParagraph"/>
              <w:numPr>
                <w:ilvl w:val="1"/>
                <w:numId w:val="1"/>
              </w:numPr>
              <w:spacing w:after="120"/>
              <w:ind w:left="316" w:hanging="357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>Galutiniam vertinimui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69D5">
              <w:rPr>
                <w:rFonts w:ascii="Times New Roman" w:hAnsi="Times New Roman" w:cs="Times New Roman"/>
              </w:rPr>
              <w:t>programų įgyvendinimo laikotarpis (</w:t>
            </w:r>
            <w:r w:rsidRPr="00162AD8">
              <w:rPr>
                <w:rFonts w:ascii="Times New Roman" w:hAnsi="Times New Roman" w:cs="Times New Roman"/>
              </w:rPr>
              <w:t xml:space="preserve">bus patikslinta prieš galutinį </w:t>
            </w:r>
            <w:r w:rsidR="006061BB">
              <w:rPr>
                <w:rFonts w:ascii="Times New Roman" w:hAnsi="Times New Roman" w:cs="Times New Roman"/>
              </w:rPr>
              <w:t xml:space="preserve">(poveikio) </w:t>
            </w:r>
            <w:r w:rsidRPr="00162AD8">
              <w:rPr>
                <w:rFonts w:ascii="Times New Roman" w:hAnsi="Times New Roman" w:cs="Times New Roman"/>
              </w:rPr>
              <w:t>vertinimą)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278D2" w:rsidRPr="00162AD8" w14:paraId="1750FB6A" w14:textId="77777777" w:rsidTr="002F48CD">
        <w:tc>
          <w:tcPr>
            <w:tcW w:w="3114" w:type="dxa"/>
            <w:vMerge w:val="restart"/>
          </w:tcPr>
          <w:p w14:paraId="212E2A0D" w14:textId="77777777" w:rsidR="001278D2" w:rsidRPr="00162AD8" w:rsidRDefault="001278D2" w:rsidP="001278D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>Vertinimo procese dalyvaujantys subjektai ir jų funkcijos</w:t>
            </w:r>
          </w:p>
        </w:tc>
        <w:tc>
          <w:tcPr>
            <w:tcW w:w="11340" w:type="dxa"/>
          </w:tcPr>
          <w:p w14:paraId="030FFC5C" w14:textId="7E7EC69C" w:rsidR="001278D2" w:rsidRPr="00162AD8" w:rsidRDefault="00EA10AA" w:rsidP="001278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78D2" w:rsidRPr="00162AD8">
              <w:rPr>
                <w:rFonts w:ascii="Times New Roman" w:hAnsi="Times New Roman" w:cs="Times New Roman"/>
              </w:rPr>
              <w:t xml:space="preserve">.1. Vadovaujančioji institucija – </w:t>
            </w:r>
            <w:r w:rsidR="001278D2" w:rsidRPr="005915A7">
              <w:rPr>
                <w:rFonts w:ascii="Times New Roman" w:hAnsi="Times New Roman" w:cs="Times New Roman"/>
              </w:rPr>
              <w:t>rengia programų vertinimo planą</w:t>
            </w:r>
            <w:r w:rsidR="001278D2" w:rsidRPr="00162AD8">
              <w:rPr>
                <w:rFonts w:ascii="Times New Roman" w:hAnsi="Times New Roman" w:cs="Times New Roman"/>
              </w:rPr>
              <w:t>, organizuoja nepriklausomų vertintojų atranką, užtikrina, kad nepriklausomi vertintojai gautų</w:t>
            </w:r>
            <w:r w:rsidR="001278D2" w:rsidRPr="00162AD8">
              <w:rPr>
                <w:rFonts w:ascii="Times New Roman" w:eastAsia="Times New Roman" w:hAnsi="Times New Roman" w:cs="Times New Roman"/>
              </w:rPr>
              <w:t xml:space="preserve"> </w:t>
            </w:r>
            <w:r w:rsidR="001278D2" w:rsidRPr="00162AD8">
              <w:rPr>
                <w:rFonts w:ascii="Times New Roman" w:hAnsi="Times New Roman" w:cs="Times New Roman"/>
              </w:rPr>
              <w:t xml:space="preserve">visą reikalingą informaciją apie programų valdymą ir kontrolę, </w:t>
            </w:r>
            <w:r w:rsidR="001278D2">
              <w:rPr>
                <w:rFonts w:ascii="Times New Roman" w:hAnsi="Times New Roman" w:cs="Times New Roman"/>
              </w:rPr>
              <w:t>teikia Europos Komisijai p</w:t>
            </w:r>
            <w:r w:rsidR="001278D2" w:rsidRPr="00162AD8">
              <w:rPr>
                <w:rFonts w:ascii="Times New Roman" w:hAnsi="Times New Roman" w:cs="Times New Roman"/>
              </w:rPr>
              <w:t>rogramų vertinimo ataskaitą (-</w:t>
            </w:r>
            <w:proofErr w:type="spellStart"/>
            <w:r w:rsidR="001278D2" w:rsidRPr="00162AD8">
              <w:rPr>
                <w:rFonts w:ascii="Times New Roman" w:hAnsi="Times New Roman" w:cs="Times New Roman"/>
              </w:rPr>
              <w:t>as</w:t>
            </w:r>
            <w:proofErr w:type="spellEnd"/>
            <w:r w:rsidR="001278D2" w:rsidRPr="00162AD8">
              <w:rPr>
                <w:rFonts w:ascii="Times New Roman" w:hAnsi="Times New Roman" w:cs="Times New Roman"/>
              </w:rPr>
              <w:t>).</w:t>
            </w:r>
          </w:p>
        </w:tc>
      </w:tr>
      <w:tr w:rsidR="001278D2" w:rsidRPr="00162AD8" w14:paraId="69122BE4" w14:textId="77777777" w:rsidTr="002F48CD">
        <w:tc>
          <w:tcPr>
            <w:tcW w:w="3114" w:type="dxa"/>
            <w:vMerge/>
          </w:tcPr>
          <w:p w14:paraId="18C9C883" w14:textId="77777777" w:rsidR="001278D2" w:rsidRPr="00162AD8" w:rsidRDefault="001278D2" w:rsidP="00127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</w:tcPr>
          <w:p w14:paraId="101DFA26" w14:textId="6096437C" w:rsidR="001278D2" w:rsidRPr="00162AD8" w:rsidRDefault="00EA10AA" w:rsidP="001278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78D2" w:rsidRPr="00162AD8">
              <w:rPr>
                <w:rFonts w:ascii="Times New Roman" w:hAnsi="Times New Roman" w:cs="Times New Roman"/>
              </w:rPr>
              <w:t>.2. Tarpinė institucija – užtikrina, kad pagal kompetenciją rengiami ir gaunami dokumentai, reikalingi nepriklausomam ekspertiniam vertinimui užtikrinti, būtų tinkamai saugomi ir prieinami turintiems teisę juos tikrinti ar gauti asmenims.</w:t>
            </w:r>
          </w:p>
        </w:tc>
      </w:tr>
      <w:tr w:rsidR="001278D2" w:rsidRPr="00162AD8" w14:paraId="19C0F143" w14:textId="77777777" w:rsidTr="002F48CD">
        <w:tc>
          <w:tcPr>
            <w:tcW w:w="3114" w:type="dxa"/>
            <w:vMerge/>
          </w:tcPr>
          <w:p w14:paraId="792AAA7C" w14:textId="77777777" w:rsidR="001278D2" w:rsidRPr="00162AD8" w:rsidRDefault="001278D2" w:rsidP="00127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</w:tcPr>
          <w:p w14:paraId="74DB3D05" w14:textId="7FA7CCC7" w:rsidR="001278D2" w:rsidRPr="00162AD8" w:rsidRDefault="00EA10AA" w:rsidP="001278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78D2" w:rsidRPr="00162AD8">
              <w:rPr>
                <w:rFonts w:ascii="Times New Roman" w:hAnsi="Times New Roman" w:cs="Times New Roman"/>
              </w:rPr>
              <w:t>.3. Projektų vykdytojai – bendradarbiauja nepriklausomais vertintojais, turinčiais teisę vykdyti programų vertinimus, ir teikia jų prašomą informaciją bei dokumentus.</w:t>
            </w:r>
          </w:p>
        </w:tc>
      </w:tr>
      <w:tr w:rsidR="001278D2" w:rsidRPr="00162AD8" w14:paraId="312D90E5" w14:textId="77777777" w:rsidTr="002F48CD">
        <w:tc>
          <w:tcPr>
            <w:tcW w:w="3114" w:type="dxa"/>
            <w:vMerge/>
          </w:tcPr>
          <w:p w14:paraId="19F46857" w14:textId="77777777" w:rsidR="001278D2" w:rsidRPr="00162AD8" w:rsidRDefault="001278D2" w:rsidP="00127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</w:tcPr>
          <w:p w14:paraId="505392A4" w14:textId="6367DB3D" w:rsidR="001278D2" w:rsidRPr="00162AD8" w:rsidRDefault="00EA10AA" w:rsidP="001278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78D2" w:rsidRPr="00162AD8">
              <w:rPr>
                <w:rFonts w:ascii="Times New Roman" w:hAnsi="Times New Roman" w:cs="Times New Roman"/>
              </w:rPr>
              <w:t xml:space="preserve">.4. Nepriklausomi vertintojai – atlieka programų </w:t>
            </w:r>
            <w:r w:rsidR="001278D2" w:rsidRPr="002B54FA">
              <w:rPr>
                <w:rFonts w:ascii="Times New Roman" w:hAnsi="Times New Roman" w:cs="Times New Roman"/>
              </w:rPr>
              <w:t xml:space="preserve">vertinimą, pristato tarpinius ir galutinius atliekamo vertinimo rezultatus vadovaujančiajai institucijai </w:t>
            </w:r>
            <w:r w:rsidR="001278D2">
              <w:rPr>
                <w:rFonts w:ascii="Times New Roman" w:hAnsi="Times New Roman" w:cs="Times New Roman"/>
              </w:rPr>
              <w:t xml:space="preserve">(prireikus – ir Stebėsenos komitetui) </w:t>
            </w:r>
            <w:r w:rsidR="001278D2" w:rsidRPr="002B54FA">
              <w:rPr>
                <w:rFonts w:ascii="Times New Roman" w:hAnsi="Times New Roman" w:cs="Times New Roman"/>
              </w:rPr>
              <w:t>ir teikia jai vertinimo ataskaitą (-</w:t>
            </w:r>
            <w:proofErr w:type="spellStart"/>
            <w:r w:rsidR="001278D2" w:rsidRPr="002B54FA">
              <w:rPr>
                <w:rFonts w:ascii="Times New Roman" w:hAnsi="Times New Roman" w:cs="Times New Roman"/>
              </w:rPr>
              <w:t>as</w:t>
            </w:r>
            <w:proofErr w:type="spellEnd"/>
            <w:r w:rsidR="001278D2" w:rsidRPr="002B54FA">
              <w:rPr>
                <w:rFonts w:ascii="Times New Roman" w:hAnsi="Times New Roman" w:cs="Times New Roman"/>
              </w:rPr>
              <w:t>) vertinimo paslaugų sutartyje nustatytais terminais.</w:t>
            </w:r>
          </w:p>
        </w:tc>
      </w:tr>
      <w:tr w:rsidR="001278D2" w:rsidRPr="00162AD8" w14:paraId="23E7ADA2" w14:textId="77777777" w:rsidTr="002F48CD">
        <w:tc>
          <w:tcPr>
            <w:tcW w:w="3114" w:type="dxa"/>
            <w:vMerge/>
          </w:tcPr>
          <w:p w14:paraId="3C1C6993" w14:textId="77777777" w:rsidR="001278D2" w:rsidRPr="00162AD8" w:rsidRDefault="001278D2" w:rsidP="00127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</w:tcPr>
          <w:p w14:paraId="290AF1B6" w14:textId="22529133" w:rsidR="001278D2" w:rsidRPr="00162AD8" w:rsidRDefault="00EA10AA" w:rsidP="00FB036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78D2" w:rsidRPr="00162AD8">
              <w:rPr>
                <w:rFonts w:ascii="Times New Roman" w:hAnsi="Times New Roman" w:cs="Times New Roman"/>
              </w:rPr>
              <w:t xml:space="preserve">.5. Stebėsenos komitetas – svarsto ir tvirtina </w:t>
            </w:r>
            <w:r w:rsidR="001278D2">
              <w:rPr>
                <w:rFonts w:ascii="Times New Roman" w:hAnsi="Times New Roman" w:cs="Times New Roman"/>
              </w:rPr>
              <w:t>p</w:t>
            </w:r>
            <w:r w:rsidR="001278D2" w:rsidRPr="00162AD8">
              <w:rPr>
                <w:rFonts w:ascii="Times New Roman" w:hAnsi="Times New Roman" w:cs="Times New Roman"/>
              </w:rPr>
              <w:t>rogramų v</w:t>
            </w:r>
            <w:r w:rsidR="001278D2">
              <w:rPr>
                <w:rFonts w:ascii="Times New Roman" w:hAnsi="Times New Roman" w:cs="Times New Roman"/>
              </w:rPr>
              <w:t>ertinimo planą ir jo pakeitimus bei stebi ir vertina p</w:t>
            </w:r>
            <w:r w:rsidR="001278D2" w:rsidRPr="00FC2035">
              <w:rPr>
                <w:rFonts w:ascii="Times New Roman" w:hAnsi="Times New Roman" w:cs="Times New Roman"/>
              </w:rPr>
              <w:t>rogramų įgyvendinimą</w:t>
            </w:r>
            <w:r w:rsidR="001278D2">
              <w:rPr>
                <w:rFonts w:ascii="Times New Roman" w:hAnsi="Times New Roman" w:cs="Times New Roman"/>
              </w:rPr>
              <w:t xml:space="preserve"> ir pažangą, padarytą siekiant programų tikslų, nagrinėja p</w:t>
            </w:r>
            <w:r w:rsidR="001278D2" w:rsidRPr="00FC2035">
              <w:rPr>
                <w:rFonts w:ascii="Times New Roman" w:hAnsi="Times New Roman" w:cs="Times New Roman"/>
              </w:rPr>
              <w:t xml:space="preserve">rogramų įgyvendinimo rezultatus ir jiems poveikį darančius veiksnius bei priemones, kurių imtasi, teikia rekomendacijas vadovaujančiajai institucijai dėl </w:t>
            </w:r>
            <w:r w:rsidR="001278D2">
              <w:rPr>
                <w:rFonts w:ascii="Times New Roman" w:hAnsi="Times New Roman" w:cs="Times New Roman"/>
              </w:rPr>
              <w:t>p</w:t>
            </w:r>
            <w:r w:rsidR="001278D2" w:rsidRPr="00FC2035">
              <w:rPr>
                <w:rFonts w:ascii="Times New Roman" w:hAnsi="Times New Roman" w:cs="Times New Roman"/>
              </w:rPr>
              <w:t>rogramų įgyvendinimo tobulinimo, komunikacijos ir matomumo veiksmų įgyvendinimo bei kitų BNR 40 straipsn</w:t>
            </w:r>
            <w:r w:rsidR="001278D2">
              <w:rPr>
                <w:rFonts w:ascii="Times New Roman" w:hAnsi="Times New Roman" w:cs="Times New Roman"/>
              </w:rPr>
              <w:t xml:space="preserve">io 1 dalyje nustatytų klausimų, įskaitant vertinimų pažangą, </w:t>
            </w:r>
            <w:r w:rsidR="001278D2" w:rsidRPr="00FC2035">
              <w:rPr>
                <w:rFonts w:ascii="Times New Roman" w:hAnsi="Times New Roman" w:cs="Times New Roman"/>
              </w:rPr>
              <w:t>vertinimų santraukas ir veiksmus, kurių imtasi atsižvelgiant į išvada</w:t>
            </w:r>
            <w:r w:rsidR="001278D2">
              <w:rPr>
                <w:rFonts w:ascii="Times New Roman" w:hAnsi="Times New Roman" w:cs="Times New Roman"/>
              </w:rPr>
              <w:t xml:space="preserve">s. </w:t>
            </w:r>
          </w:p>
        </w:tc>
      </w:tr>
      <w:tr w:rsidR="001278D2" w:rsidRPr="00162AD8" w14:paraId="73D6A809" w14:textId="77777777" w:rsidTr="002F48CD">
        <w:tc>
          <w:tcPr>
            <w:tcW w:w="3114" w:type="dxa"/>
          </w:tcPr>
          <w:p w14:paraId="09FCE384" w14:textId="77777777" w:rsidR="001278D2" w:rsidRPr="00162AD8" w:rsidRDefault="001278D2" w:rsidP="001278D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>Vertintojai</w:t>
            </w:r>
            <w:r>
              <w:rPr>
                <w:rFonts w:ascii="Times New Roman" w:hAnsi="Times New Roman" w:cs="Times New Roman"/>
              </w:rPr>
              <w:t xml:space="preserve"> ir jų atranka</w:t>
            </w:r>
          </w:p>
        </w:tc>
        <w:tc>
          <w:tcPr>
            <w:tcW w:w="11340" w:type="dxa"/>
          </w:tcPr>
          <w:p w14:paraId="45B0F341" w14:textId="77777777" w:rsidR="007C74B6" w:rsidRDefault="001278D2" w:rsidP="007C7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Vertinimus atliks f</w:t>
            </w:r>
            <w:r w:rsidRPr="00162AD8">
              <w:rPr>
                <w:rFonts w:ascii="Times New Roman" w:hAnsi="Times New Roman" w:cs="Times New Roman"/>
              </w:rPr>
              <w:t>unkciškai nepriklausomi išorės ekspertai, atrinkti viešųjų pirkimų būdu.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070D636" w14:textId="77777777" w:rsidR="001278D2" w:rsidRPr="00162AD8" w:rsidRDefault="007C74B6" w:rsidP="00FB036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C74B6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ertinimo paslaugų pirkimą organizuoja v</w:t>
            </w:r>
            <w:r w:rsidRPr="007C74B6">
              <w:rPr>
                <w:rFonts w:ascii="Times New Roman" w:hAnsi="Times New Roman" w:cs="Times New Roman"/>
              </w:rPr>
              <w:t>adovaujančioji institucija</w:t>
            </w:r>
            <w:r>
              <w:rPr>
                <w:rFonts w:ascii="Times New Roman" w:hAnsi="Times New Roman" w:cs="Times New Roman"/>
              </w:rPr>
              <w:t>.</w:t>
            </w:r>
            <w:r w:rsidRPr="007C74B6">
              <w:rPr>
                <w:rFonts w:ascii="Times New Roman" w:hAnsi="Times New Roman" w:cs="Times New Roman"/>
              </w:rPr>
              <w:t xml:space="preserve"> </w:t>
            </w:r>
            <w:r w:rsidR="001278D2">
              <w:rPr>
                <w:rFonts w:ascii="Times New Roman" w:hAnsi="Times New Roman" w:cs="Times New Roman"/>
              </w:rPr>
              <w:t xml:space="preserve">Atrenkant </w:t>
            </w:r>
            <w:r w:rsidR="001278D2" w:rsidRPr="00E06C7C">
              <w:rPr>
                <w:rFonts w:ascii="Times New Roman" w:hAnsi="Times New Roman" w:cs="Times New Roman"/>
              </w:rPr>
              <w:t>vertintoj</w:t>
            </w:r>
            <w:r w:rsidR="001278D2">
              <w:rPr>
                <w:rFonts w:ascii="Times New Roman" w:hAnsi="Times New Roman" w:cs="Times New Roman"/>
              </w:rPr>
              <w:t xml:space="preserve">us bus užtikrinama, kad </w:t>
            </w:r>
            <w:r>
              <w:rPr>
                <w:rFonts w:ascii="Times New Roman" w:hAnsi="Times New Roman" w:cs="Times New Roman"/>
              </w:rPr>
              <w:t>vertintojai</w:t>
            </w:r>
            <w:r w:rsidR="001278D2" w:rsidRPr="00E06C7C">
              <w:rPr>
                <w:rFonts w:ascii="Times New Roman" w:hAnsi="Times New Roman" w:cs="Times New Roman"/>
              </w:rPr>
              <w:t xml:space="preserve"> yra nešališki</w:t>
            </w:r>
            <w:r w:rsidR="001278D2">
              <w:rPr>
                <w:rFonts w:ascii="Times New Roman" w:hAnsi="Times New Roman" w:cs="Times New Roman"/>
              </w:rPr>
              <w:t xml:space="preserve"> ir </w:t>
            </w:r>
            <w:r w:rsidR="001278D2" w:rsidRPr="00E06C7C">
              <w:rPr>
                <w:rFonts w:ascii="Times New Roman" w:hAnsi="Times New Roman" w:cs="Times New Roman"/>
              </w:rPr>
              <w:t xml:space="preserve">funkciškai nepriklausomi nuo </w:t>
            </w:r>
            <w:r w:rsidR="001278D2">
              <w:rPr>
                <w:rFonts w:ascii="Times New Roman" w:hAnsi="Times New Roman" w:cs="Times New Roman"/>
              </w:rPr>
              <w:t>programų valdyme dalyvaujančių institucijų ir projektų vykdytojų.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78D2">
              <w:rPr>
                <w:rFonts w:ascii="Times New Roman" w:hAnsi="Times New Roman" w:cs="Times New Roman"/>
              </w:rPr>
              <w:t>Vertintojų atrankos kriterijai</w:t>
            </w:r>
            <w:r w:rsidR="003729DF">
              <w:rPr>
                <w:rFonts w:ascii="Times New Roman" w:hAnsi="Times New Roman" w:cs="Times New Roman"/>
              </w:rPr>
              <w:t>, reikalavimai vertintojų komandai</w:t>
            </w:r>
            <w:r w:rsidR="001278D2">
              <w:rPr>
                <w:rFonts w:ascii="Times New Roman" w:hAnsi="Times New Roman" w:cs="Times New Roman"/>
              </w:rPr>
              <w:t xml:space="preserve"> bus nustatyti vertinimo paslaugų pirkimo dokumentuose.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78D2" w:rsidRPr="00162AD8" w14:paraId="031C59B8" w14:textId="77777777" w:rsidTr="002F48CD">
        <w:tc>
          <w:tcPr>
            <w:tcW w:w="3114" w:type="dxa"/>
          </w:tcPr>
          <w:p w14:paraId="0CF959FC" w14:textId="77777777" w:rsidR="001278D2" w:rsidRPr="00162AD8" w:rsidRDefault="001278D2" w:rsidP="001278D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Preliminarus t</w:t>
            </w:r>
            <w:r w:rsidRPr="00162AD8">
              <w:rPr>
                <w:rFonts w:ascii="Times New Roman" w:hAnsi="Times New Roman" w:cs="Times New Roman"/>
              </w:rPr>
              <w:t>varkaraštis</w:t>
            </w:r>
          </w:p>
        </w:tc>
        <w:tc>
          <w:tcPr>
            <w:tcW w:w="11340" w:type="dxa"/>
          </w:tcPr>
          <w:p w14:paraId="54FDBDA3" w14:textId="77777777" w:rsidR="001278D2" w:rsidRPr="007C74B6" w:rsidRDefault="001278D2" w:rsidP="001278D2">
            <w:pPr>
              <w:rPr>
                <w:rFonts w:ascii="Times New Roman" w:hAnsi="Times New Roman" w:cs="Times New Roman"/>
              </w:rPr>
            </w:pPr>
            <w:r w:rsidRPr="007C74B6">
              <w:rPr>
                <w:rFonts w:ascii="Times New Roman" w:hAnsi="Times New Roman" w:cs="Times New Roman"/>
              </w:rPr>
              <w:t>Planuojami šie vertinimo proceso organizavimo etapai:</w:t>
            </w:r>
          </w:p>
          <w:p w14:paraId="2560ECAF" w14:textId="5499036E" w:rsidR="007C74B6" w:rsidRDefault="007C74B6" w:rsidP="001278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Vertinimo plano projekto pateikimas Europos Komisijai;</w:t>
            </w:r>
          </w:p>
          <w:p w14:paraId="1264C095" w14:textId="77777777" w:rsidR="007C74B6" w:rsidRDefault="007C74B6" w:rsidP="001278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Vertinimo plano pateikimas svarstyti ir tvirtinti Stebėsenos komitetui</w:t>
            </w:r>
            <w:r w:rsidR="00002EB1">
              <w:rPr>
                <w:rFonts w:ascii="Times New Roman" w:hAnsi="Times New Roman" w:cs="Times New Roman"/>
              </w:rPr>
              <w:t>;</w:t>
            </w:r>
          </w:p>
          <w:p w14:paraId="3E3CC0C9" w14:textId="77777777" w:rsidR="000F53DC" w:rsidRDefault="000F53DC" w:rsidP="001278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Vertinimo plano paskelbimas interneto svetainėje;</w:t>
            </w:r>
          </w:p>
          <w:p w14:paraId="3BBCC2C0" w14:textId="77777777" w:rsidR="001278D2" w:rsidRPr="00F74203" w:rsidRDefault="001278D2" w:rsidP="001278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C74B6">
              <w:rPr>
                <w:rFonts w:ascii="Times New Roman" w:hAnsi="Times New Roman" w:cs="Times New Roman"/>
              </w:rPr>
              <w:t xml:space="preserve">Vertinimo paslaugų pirkimo dokumentų </w:t>
            </w:r>
            <w:r w:rsidRPr="00F74203">
              <w:rPr>
                <w:rFonts w:ascii="Times New Roman" w:hAnsi="Times New Roman" w:cs="Times New Roman"/>
              </w:rPr>
              <w:t xml:space="preserve">parengimas ir </w:t>
            </w:r>
            <w:r>
              <w:rPr>
                <w:rFonts w:ascii="Times New Roman" w:hAnsi="Times New Roman" w:cs="Times New Roman"/>
              </w:rPr>
              <w:t>pirkimų organizavimas;</w:t>
            </w:r>
          </w:p>
          <w:p w14:paraId="53881086" w14:textId="77777777" w:rsidR="001278D2" w:rsidRPr="00F74203" w:rsidRDefault="001278D2" w:rsidP="001278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74203">
              <w:rPr>
                <w:rFonts w:ascii="Times New Roman" w:hAnsi="Times New Roman" w:cs="Times New Roman"/>
              </w:rPr>
              <w:t xml:space="preserve">Vertintojų atranka ir </w:t>
            </w:r>
            <w:r>
              <w:rPr>
                <w:rFonts w:ascii="Times New Roman" w:hAnsi="Times New Roman" w:cs="Times New Roman"/>
              </w:rPr>
              <w:t xml:space="preserve">vertinimo paslaugų </w:t>
            </w:r>
            <w:r w:rsidRPr="00F74203">
              <w:rPr>
                <w:rFonts w:ascii="Times New Roman" w:hAnsi="Times New Roman" w:cs="Times New Roman"/>
              </w:rPr>
              <w:t>sutarties sudarymas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5EEB72D" w14:textId="77777777" w:rsidR="001278D2" w:rsidRPr="00F74203" w:rsidRDefault="001278D2" w:rsidP="001278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74203">
              <w:rPr>
                <w:rFonts w:ascii="Times New Roman" w:hAnsi="Times New Roman" w:cs="Times New Roman"/>
              </w:rPr>
              <w:t>Vertinimo atlikimas</w:t>
            </w:r>
            <w:r>
              <w:rPr>
                <w:rFonts w:ascii="Times New Roman" w:hAnsi="Times New Roman" w:cs="Times New Roman"/>
              </w:rPr>
              <w:t xml:space="preserve"> ir tarpinių </w:t>
            </w:r>
            <w:r w:rsidRPr="00261C0B">
              <w:rPr>
                <w:rFonts w:ascii="Times New Roman" w:hAnsi="Times New Roman" w:cs="Times New Roman"/>
              </w:rPr>
              <w:t>vertinimo rezultatų pristatymas vadovaujančiajai institucijai;</w:t>
            </w:r>
          </w:p>
          <w:p w14:paraId="51F612A9" w14:textId="77777777" w:rsidR="001278D2" w:rsidRPr="00F74203" w:rsidRDefault="001278D2" w:rsidP="001278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74203">
              <w:rPr>
                <w:rFonts w:ascii="Times New Roman" w:hAnsi="Times New Roman" w:cs="Times New Roman"/>
              </w:rPr>
              <w:t xml:space="preserve">Vertinimo ataskaitos </w:t>
            </w:r>
            <w:r>
              <w:rPr>
                <w:rFonts w:ascii="Times New Roman" w:hAnsi="Times New Roman" w:cs="Times New Roman"/>
              </w:rPr>
              <w:t xml:space="preserve">parengimas ir galutinių vertinimo rezultatų </w:t>
            </w:r>
            <w:r w:rsidRPr="00F74203">
              <w:rPr>
                <w:rFonts w:ascii="Times New Roman" w:hAnsi="Times New Roman" w:cs="Times New Roman"/>
              </w:rPr>
              <w:t>pristatymas vadovaujančiajai institucijai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836CB03" w14:textId="77777777" w:rsidR="001278D2" w:rsidRDefault="001278D2" w:rsidP="001278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74203">
              <w:rPr>
                <w:rFonts w:ascii="Times New Roman" w:hAnsi="Times New Roman" w:cs="Times New Roman"/>
              </w:rPr>
              <w:t>Vertinimo ataskaitos pateikimas Europos Komisijai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9172854" w14:textId="77777777" w:rsidR="001278D2" w:rsidRDefault="001278D2" w:rsidP="001278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Vertinimo ataskaitos pristatymas Stebėsenos komitetui</w:t>
            </w:r>
            <w:r w:rsidR="000F53DC">
              <w:rPr>
                <w:rFonts w:ascii="Times New Roman" w:hAnsi="Times New Roman" w:cs="Times New Roman"/>
              </w:rPr>
              <w:t>;</w:t>
            </w:r>
          </w:p>
          <w:p w14:paraId="2872EA1F" w14:textId="77777777" w:rsidR="000F53DC" w:rsidRDefault="000F53DC" w:rsidP="001278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Vertinimo ataskaitos paskelbimas</w:t>
            </w:r>
            <w:r w:rsidRPr="000F53DC">
              <w:rPr>
                <w:rFonts w:ascii="Times New Roman" w:hAnsi="Times New Roman" w:cs="Times New Roman"/>
              </w:rPr>
              <w:t xml:space="preserve"> interneto svetainėje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B8C654D" w14:textId="77777777" w:rsidR="00002EB1" w:rsidRDefault="00002EB1" w:rsidP="001278D2">
            <w:pPr>
              <w:jc w:val="both"/>
              <w:rPr>
                <w:rFonts w:ascii="Times New Roman" w:hAnsi="Times New Roman" w:cs="Times New Roman"/>
              </w:rPr>
            </w:pPr>
          </w:p>
          <w:p w14:paraId="34172419" w14:textId="77777777" w:rsidR="00002EB1" w:rsidRPr="00002EB1" w:rsidRDefault="00002EB1" w:rsidP="00002E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Vertinimo plano parengimo </w:t>
            </w:r>
            <w:r w:rsidRPr="00002EB1">
              <w:rPr>
                <w:rFonts w:ascii="Times New Roman" w:hAnsi="Times New Roman" w:cs="Times New Roman"/>
              </w:rPr>
              <w:t>preliminarus tvarkaraštis:</w:t>
            </w:r>
          </w:p>
          <w:p w14:paraId="76D0A6D9" w14:textId="0D256BC1" w:rsidR="00002EB1" w:rsidRPr="00C92939" w:rsidRDefault="000F53DC" w:rsidP="00C92939">
            <w:pPr>
              <w:pStyle w:val="ListParagraph"/>
              <w:numPr>
                <w:ilvl w:val="0"/>
                <w:numId w:val="7"/>
              </w:numPr>
              <w:ind w:left="7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m. II–III</w:t>
            </w:r>
            <w:r w:rsidR="007E30CC" w:rsidRPr="00C929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30CC" w:rsidRPr="00C92939">
              <w:rPr>
                <w:rFonts w:ascii="Times New Roman" w:hAnsi="Times New Roman" w:cs="Times New Roman"/>
              </w:rPr>
              <w:t>ketv</w:t>
            </w:r>
            <w:proofErr w:type="spellEnd"/>
            <w:r w:rsidR="007E30CC" w:rsidRPr="00C92939">
              <w:rPr>
                <w:rFonts w:ascii="Times New Roman" w:hAnsi="Times New Roman" w:cs="Times New Roman"/>
              </w:rPr>
              <w:t>.</w:t>
            </w:r>
            <w:r w:rsidR="008D722D" w:rsidRPr="00C92939">
              <w:rPr>
                <w:rFonts w:ascii="Times New Roman" w:hAnsi="Times New Roman" w:cs="Times New Roman"/>
              </w:rPr>
              <w:t xml:space="preserve"> </w:t>
            </w:r>
            <w:r w:rsidR="00002EB1" w:rsidRPr="00C92939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v</w:t>
            </w:r>
            <w:r w:rsidR="00002EB1" w:rsidRPr="00C92939">
              <w:rPr>
                <w:rFonts w:ascii="Times New Roman" w:hAnsi="Times New Roman" w:cs="Times New Roman"/>
              </w:rPr>
              <w:t>ertinimo plano projekto pateikimas Europos Komisijai;</w:t>
            </w:r>
          </w:p>
          <w:p w14:paraId="3D9DD5E2" w14:textId="77777777" w:rsidR="000F53DC" w:rsidRDefault="000F53DC" w:rsidP="00C92939">
            <w:pPr>
              <w:pStyle w:val="ListParagraph"/>
              <w:numPr>
                <w:ilvl w:val="0"/>
                <w:numId w:val="7"/>
              </w:numPr>
              <w:ind w:left="7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m. </w:t>
            </w:r>
            <w:r w:rsidRPr="000F53DC">
              <w:rPr>
                <w:rFonts w:ascii="Times New Roman" w:hAnsi="Times New Roman" w:cs="Times New Roman"/>
              </w:rPr>
              <w:t>III</w:t>
            </w:r>
            <w:r w:rsidR="007E30CC" w:rsidRPr="000F5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30CC" w:rsidRPr="000F53DC">
              <w:rPr>
                <w:rFonts w:ascii="Times New Roman" w:hAnsi="Times New Roman" w:cs="Times New Roman"/>
              </w:rPr>
              <w:t>ketv</w:t>
            </w:r>
            <w:proofErr w:type="spellEnd"/>
            <w:r w:rsidR="007E30CC" w:rsidRPr="000F53DC">
              <w:rPr>
                <w:rFonts w:ascii="Times New Roman" w:hAnsi="Times New Roman" w:cs="Times New Roman"/>
              </w:rPr>
              <w:t>.</w:t>
            </w:r>
            <w:r w:rsidR="008D722D" w:rsidRPr="000F53DC">
              <w:rPr>
                <w:rFonts w:ascii="Times New Roman" w:hAnsi="Times New Roman" w:cs="Times New Roman"/>
              </w:rPr>
              <w:t xml:space="preserve"> </w:t>
            </w:r>
            <w:r w:rsidR="00002EB1" w:rsidRPr="000F53DC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v</w:t>
            </w:r>
            <w:r w:rsidR="00002EB1" w:rsidRPr="00C92939">
              <w:rPr>
                <w:rFonts w:ascii="Times New Roman" w:hAnsi="Times New Roman" w:cs="Times New Roman"/>
              </w:rPr>
              <w:t>ertinimo plano pateikimas svarstyti i</w:t>
            </w:r>
            <w:r>
              <w:rPr>
                <w:rFonts w:ascii="Times New Roman" w:hAnsi="Times New Roman" w:cs="Times New Roman"/>
              </w:rPr>
              <w:t>r tvirtinti Stebėsenos komitetu;</w:t>
            </w:r>
          </w:p>
          <w:p w14:paraId="6B230D19" w14:textId="77777777" w:rsidR="00002EB1" w:rsidRPr="00C92939" w:rsidRDefault="000F53DC" w:rsidP="00C92939">
            <w:pPr>
              <w:pStyle w:val="ListParagraph"/>
              <w:numPr>
                <w:ilvl w:val="0"/>
                <w:numId w:val="7"/>
              </w:numPr>
              <w:ind w:left="739"/>
              <w:jc w:val="both"/>
              <w:rPr>
                <w:rFonts w:ascii="Times New Roman" w:hAnsi="Times New Roman" w:cs="Times New Roman"/>
              </w:rPr>
            </w:pPr>
            <w:r w:rsidRPr="000F53DC">
              <w:rPr>
                <w:rFonts w:ascii="Times New Roman" w:hAnsi="Times New Roman" w:cs="Times New Roman"/>
              </w:rPr>
              <w:t xml:space="preserve">2023 m. III </w:t>
            </w:r>
            <w:proofErr w:type="spellStart"/>
            <w:r w:rsidRPr="000F53DC">
              <w:rPr>
                <w:rFonts w:ascii="Times New Roman" w:hAnsi="Times New Roman" w:cs="Times New Roman"/>
              </w:rPr>
              <w:t>ketv</w:t>
            </w:r>
            <w:proofErr w:type="spellEnd"/>
            <w:r w:rsidRPr="000F53DC">
              <w:rPr>
                <w:rFonts w:ascii="Times New Roman" w:hAnsi="Times New Roman" w:cs="Times New Roman"/>
              </w:rPr>
              <w:t>. –</w:t>
            </w:r>
            <w:r>
              <w:rPr>
                <w:rFonts w:ascii="Times New Roman" w:hAnsi="Times New Roman" w:cs="Times New Roman"/>
              </w:rPr>
              <w:t xml:space="preserve"> vertinimo plano paskelbimas</w:t>
            </w:r>
            <w:r w:rsidRPr="000F53DC">
              <w:rPr>
                <w:rFonts w:ascii="Times New Roman" w:hAnsi="Times New Roman" w:cs="Times New Roman"/>
              </w:rPr>
              <w:t xml:space="preserve"> interneto svetainėje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ABA7BA8" w14:textId="77777777" w:rsidR="00002EB1" w:rsidRDefault="00002EB1" w:rsidP="001278D2">
            <w:pPr>
              <w:jc w:val="both"/>
              <w:rPr>
                <w:rFonts w:ascii="Times New Roman" w:hAnsi="Times New Roman" w:cs="Times New Roman"/>
              </w:rPr>
            </w:pPr>
          </w:p>
          <w:p w14:paraId="1F26B460" w14:textId="77777777" w:rsidR="001278D2" w:rsidRDefault="001278D2" w:rsidP="001278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Laikotarpio vidurio vertinimo preliminarus tvarkaraštis:</w:t>
            </w:r>
          </w:p>
          <w:p w14:paraId="2AE28046" w14:textId="77777777" w:rsidR="001278D2" w:rsidRDefault="001278D2" w:rsidP="001278D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E30CC">
              <w:rPr>
                <w:rFonts w:ascii="Times New Roman" w:hAnsi="Times New Roman" w:cs="Times New Roman"/>
              </w:rPr>
              <w:t xml:space="preserve">2023 m. III </w:t>
            </w:r>
            <w:proofErr w:type="spellStart"/>
            <w:r w:rsidRPr="007E30CC">
              <w:rPr>
                <w:rFonts w:ascii="Times New Roman" w:hAnsi="Times New Roman" w:cs="Times New Roman"/>
              </w:rPr>
              <w:t>ketv</w:t>
            </w:r>
            <w:proofErr w:type="spellEnd"/>
            <w:r w:rsidRPr="007E30CC">
              <w:rPr>
                <w:rFonts w:ascii="Times New Roman" w:hAnsi="Times New Roman" w:cs="Times New Roman"/>
              </w:rPr>
              <w:t>. –</w:t>
            </w:r>
            <w:r>
              <w:rPr>
                <w:rFonts w:ascii="Times New Roman" w:hAnsi="Times New Roman" w:cs="Times New Roman"/>
              </w:rPr>
              <w:t xml:space="preserve"> vertinimo </w:t>
            </w:r>
            <w:r w:rsidRPr="007E30CC">
              <w:rPr>
                <w:rFonts w:ascii="Times New Roman" w:hAnsi="Times New Roman" w:cs="Times New Roman"/>
              </w:rPr>
              <w:t>paslaugų pirkimo dokumentų parengimas ir pirkimų organizavimas</w:t>
            </w:r>
            <w:r>
              <w:rPr>
                <w:rFonts w:ascii="Times New Roman" w:hAnsi="Times New Roman" w:cs="Times New Roman"/>
              </w:rPr>
              <w:t>;</w:t>
            </w:r>
            <w:r w:rsidRPr="007E30CC">
              <w:rPr>
                <w:rFonts w:ascii="Times New Roman" w:hAnsi="Times New Roman" w:cs="Times New Roman"/>
              </w:rPr>
              <w:t xml:space="preserve"> </w:t>
            </w:r>
          </w:p>
          <w:p w14:paraId="4E5FB626" w14:textId="77777777" w:rsidR="001278D2" w:rsidRPr="007E30CC" w:rsidRDefault="001278D2" w:rsidP="001278D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m. </w:t>
            </w:r>
            <w:r w:rsidRPr="00D7703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D77031">
              <w:rPr>
                <w:rFonts w:ascii="Times New Roman" w:hAnsi="Times New Roman" w:cs="Times New Roman"/>
              </w:rPr>
              <w:t>ketv</w:t>
            </w:r>
            <w:proofErr w:type="spellEnd"/>
            <w:r w:rsidRPr="00D77031">
              <w:rPr>
                <w:rFonts w:ascii="Times New Roman" w:hAnsi="Times New Roman" w:cs="Times New Roman"/>
              </w:rPr>
              <w:t xml:space="preserve">. – </w:t>
            </w:r>
            <w:r w:rsidRPr="007E30CC">
              <w:rPr>
                <w:rFonts w:ascii="Times New Roman" w:hAnsi="Times New Roman" w:cs="Times New Roman"/>
              </w:rPr>
              <w:t xml:space="preserve">vertintojų atranka ir vertinimo paslaugų sutarties sudarymas; </w:t>
            </w:r>
          </w:p>
          <w:p w14:paraId="48DBBCE6" w14:textId="77777777" w:rsidR="001278D2" w:rsidRPr="007E30CC" w:rsidRDefault="001278D2" w:rsidP="001278D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m. </w:t>
            </w:r>
            <w:r w:rsidRPr="00D7703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D77031">
              <w:rPr>
                <w:rFonts w:ascii="Times New Roman" w:hAnsi="Times New Roman" w:cs="Times New Roman"/>
              </w:rPr>
              <w:t>ketv</w:t>
            </w:r>
            <w:proofErr w:type="spellEnd"/>
            <w:r w:rsidRPr="00D77031">
              <w:rPr>
                <w:rFonts w:ascii="Times New Roman" w:hAnsi="Times New Roman" w:cs="Times New Roman"/>
              </w:rPr>
              <w:t>.–</w:t>
            </w:r>
            <w:r w:rsidRPr="007E30CC">
              <w:rPr>
                <w:rFonts w:ascii="Times New Roman" w:hAnsi="Times New Roman" w:cs="Times New Roman"/>
              </w:rPr>
              <w:t xml:space="preserve">2024 m. I </w:t>
            </w:r>
            <w:proofErr w:type="spellStart"/>
            <w:r w:rsidRPr="007E30CC">
              <w:rPr>
                <w:rFonts w:ascii="Times New Roman" w:hAnsi="Times New Roman" w:cs="Times New Roman"/>
              </w:rPr>
              <w:t>ketv</w:t>
            </w:r>
            <w:proofErr w:type="spellEnd"/>
            <w:r w:rsidRPr="007E30CC">
              <w:rPr>
                <w:rFonts w:ascii="Times New Roman" w:hAnsi="Times New Roman" w:cs="Times New Roman"/>
              </w:rPr>
              <w:t>.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0CC">
              <w:rPr>
                <w:rFonts w:ascii="Times New Roman" w:hAnsi="Times New Roman" w:cs="Times New Roman"/>
              </w:rPr>
              <w:t xml:space="preserve">vertinimo atlikimas, tarpinių ir galutinių vertinimo rezultatų pristatymas vadovaujančiajai institucijai bei vertinimo ataskaitos parengimas; </w:t>
            </w:r>
          </w:p>
          <w:p w14:paraId="30EAAF61" w14:textId="77777777" w:rsidR="001278D2" w:rsidRPr="007E30CC" w:rsidRDefault="001278D2" w:rsidP="001278D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E30CC">
              <w:rPr>
                <w:rFonts w:ascii="Times New Roman" w:hAnsi="Times New Roman" w:cs="Times New Roman"/>
              </w:rPr>
              <w:t>iki 2024 m. kovo 31 d.</w:t>
            </w:r>
            <w:r>
              <w:rPr>
                <w:rFonts w:ascii="Times New Roman" w:hAnsi="Times New Roman" w:cs="Times New Roman"/>
              </w:rPr>
              <w:t xml:space="preserve"> (ar kito Europos Komisijos nustatyto termino) </w:t>
            </w:r>
            <w:r w:rsidRPr="007E30C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0CC">
              <w:rPr>
                <w:rFonts w:ascii="Times New Roman" w:hAnsi="Times New Roman" w:cs="Times New Roman"/>
              </w:rPr>
              <w:t xml:space="preserve">vertinimo ataskaitos pateikimas Europos Komisijai; </w:t>
            </w:r>
          </w:p>
          <w:p w14:paraId="3656DE53" w14:textId="77777777" w:rsidR="001278D2" w:rsidRDefault="001278D2" w:rsidP="001278D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E30CC">
              <w:rPr>
                <w:rFonts w:ascii="Times New Roman" w:hAnsi="Times New Roman" w:cs="Times New Roman"/>
              </w:rPr>
              <w:t xml:space="preserve">2024 m. II </w:t>
            </w:r>
            <w:proofErr w:type="spellStart"/>
            <w:r w:rsidRPr="007E30CC">
              <w:rPr>
                <w:rFonts w:ascii="Times New Roman" w:hAnsi="Times New Roman" w:cs="Times New Roman"/>
              </w:rPr>
              <w:t>ketv</w:t>
            </w:r>
            <w:proofErr w:type="spellEnd"/>
            <w:r w:rsidRPr="007E30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0C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0CC">
              <w:rPr>
                <w:rFonts w:ascii="Times New Roman" w:hAnsi="Times New Roman" w:cs="Times New Roman"/>
              </w:rPr>
              <w:t>vertinimo ataskaitos pristatymas Stebėsenos komitetui</w:t>
            </w:r>
            <w:r w:rsidR="000F53DC">
              <w:rPr>
                <w:rFonts w:ascii="Times New Roman" w:hAnsi="Times New Roman" w:cs="Times New Roman"/>
              </w:rPr>
              <w:t>;</w:t>
            </w:r>
          </w:p>
          <w:p w14:paraId="3D9BF7EF" w14:textId="67645884" w:rsidR="000F53DC" w:rsidRDefault="007E30CC" w:rsidP="001278D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0F53DC">
              <w:rPr>
                <w:rFonts w:ascii="Times New Roman" w:hAnsi="Times New Roman" w:cs="Times New Roman"/>
              </w:rPr>
              <w:t xml:space="preserve">2024 m. II </w:t>
            </w:r>
            <w:proofErr w:type="spellStart"/>
            <w:r w:rsidRPr="000F53DC">
              <w:rPr>
                <w:rFonts w:ascii="Times New Roman" w:hAnsi="Times New Roman" w:cs="Times New Roman"/>
              </w:rPr>
              <w:t>ketv</w:t>
            </w:r>
            <w:proofErr w:type="spellEnd"/>
            <w:r w:rsidRPr="000F53DC">
              <w:rPr>
                <w:rFonts w:ascii="Times New Roman" w:hAnsi="Times New Roman" w:cs="Times New Roman"/>
              </w:rPr>
              <w:t>.</w:t>
            </w:r>
            <w:r w:rsidR="000F53DC" w:rsidRPr="000F53DC">
              <w:rPr>
                <w:rFonts w:ascii="Times New Roman" w:hAnsi="Times New Roman" w:cs="Times New Roman"/>
              </w:rPr>
              <w:t xml:space="preserve"> </w:t>
            </w:r>
            <w:r w:rsidRPr="000F53DC">
              <w:rPr>
                <w:rFonts w:ascii="Times New Roman" w:hAnsi="Times New Roman" w:cs="Times New Roman"/>
              </w:rPr>
              <w:t>–</w:t>
            </w:r>
            <w:r w:rsidR="000F53DC" w:rsidRPr="000F53DC">
              <w:rPr>
                <w:rFonts w:ascii="Times New Roman" w:hAnsi="Times New Roman" w:cs="Times New Roman"/>
              </w:rPr>
              <w:t xml:space="preserve"> </w:t>
            </w:r>
            <w:r w:rsidR="008D722D" w:rsidRPr="000F53DC">
              <w:rPr>
                <w:rFonts w:ascii="Times New Roman" w:hAnsi="Times New Roman" w:cs="Times New Roman"/>
              </w:rPr>
              <w:t>vertinimo ataskaitos</w:t>
            </w:r>
            <w:r w:rsidR="000F53DC">
              <w:rPr>
                <w:rFonts w:ascii="Times New Roman" w:hAnsi="Times New Roman" w:cs="Times New Roman"/>
              </w:rPr>
              <w:t xml:space="preserve"> paskelbimas</w:t>
            </w:r>
            <w:r w:rsidR="00FB0367" w:rsidRPr="00FB0367">
              <w:rPr>
                <w:rFonts w:ascii="Times New Roman" w:hAnsi="Times New Roman" w:cs="Times New Roman"/>
              </w:rPr>
              <w:t xml:space="preserve"> interneto svetainėje</w:t>
            </w:r>
            <w:r w:rsidR="000F53DC">
              <w:rPr>
                <w:rFonts w:ascii="Times New Roman" w:hAnsi="Times New Roman" w:cs="Times New Roman"/>
              </w:rPr>
              <w:t>.</w:t>
            </w:r>
          </w:p>
          <w:p w14:paraId="0FA4AE07" w14:textId="77777777" w:rsidR="00FB0367" w:rsidRPr="007E30CC" w:rsidRDefault="00FB0367" w:rsidP="00FB0367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2383673D" w14:textId="7D586B4F" w:rsidR="001278D2" w:rsidRPr="006740EC" w:rsidRDefault="001278D2" w:rsidP="00FB036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56567">
              <w:rPr>
                <w:rFonts w:ascii="Times New Roman" w:hAnsi="Times New Roman" w:cs="Times New Roman"/>
              </w:rPr>
              <w:t>Galutini</w:t>
            </w:r>
            <w:r>
              <w:rPr>
                <w:rFonts w:ascii="Times New Roman" w:hAnsi="Times New Roman" w:cs="Times New Roman"/>
              </w:rPr>
              <w:t>o</w:t>
            </w:r>
            <w:r w:rsidRPr="00356567">
              <w:rPr>
                <w:rFonts w:ascii="Times New Roman" w:hAnsi="Times New Roman" w:cs="Times New Roman"/>
              </w:rPr>
              <w:t xml:space="preserve"> vertinim</w:t>
            </w:r>
            <w:r>
              <w:rPr>
                <w:rFonts w:ascii="Times New Roman" w:hAnsi="Times New Roman" w:cs="Times New Roman"/>
              </w:rPr>
              <w:t xml:space="preserve">o </w:t>
            </w:r>
            <w:r w:rsidRPr="008C689F">
              <w:rPr>
                <w:rFonts w:ascii="Times New Roman" w:hAnsi="Times New Roman" w:cs="Times New Roman"/>
              </w:rPr>
              <w:t xml:space="preserve">proceso </w:t>
            </w:r>
            <w:r w:rsidR="00FB0367" w:rsidRPr="00FB0367">
              <w:rPr>
                <w:rFonts w:ascii="Times New Roman" w:hAnsi="Times New Roman" w:cs="Times New Roman"/>
              </w:rPr>
              <w:t xml:space="preserve">preliminarus </w:t>
            </w:r>
            <w:r w:rsidRPr="008C689F">
              <w:rPr>
                <w:rFonts w:ascii="Times New Roman" w:hAnsi="Times New Roman" w:cs="Times New Roman"/>
              </w:rPr>
              <w:t>tvarkaraštis</w:t>
            </w:r>
            <w:r>
              <w:rPr>
                <w:rFonts w:ascii="Times New Roman" w:hAnsi="Times New Roman" w:cs="Times New Roman"/>
              </w:rPr>
              <w:t xml:space="preserve"> bus numatytas vėlesniame etape.</w:t>
            </w:r>
          </w:p>
        </w:tc>
      </w:tr>
      <w:tr w:rsidR="001278D2" w:rsidRPr="00162AD8" w14:paraId="01F3763E" w14:textId="77777777" w:rsidTr="002F48CD">
        <w:tc>
          <w:tcPr>
            <w:tcW w:w="3114" w:type="dxa"/>
          </w:tcPr>
          <w:p w14:paraId="71AA910D" w14:textId="77777777" w:rsidR="001278D2" w:rsidRPr="004E69D5" w:rsidRDefault="001278D2" w:rsidP="001278D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</w:rPr>
            </w:pPr>
            <w:r w:rsidRPr="004E69D5">
              <w:rPr>
                <w:rFonts w:ascii="Times New Roman" w:hAnsi="Times New Roman" w:cs="Times New Roman"/>
              </w:rPr>
              <w:lastRenderedPageBreak/>
              <w:t>Preliminarus biudžetas</w:t>
            </w:r>
          </w:p>
        </w:tc>
        <w:tc>
          <w:tcPr>
            <w:tcW w:w="11340" w:type="dxa"/>
          </w:tcPr>
          <w:p w14:paraId="378B9C2F" w14:textId="77777777" w:rsidR="001278D2" w:rsidRPr="004E69D5" w:rsidRDefault="001278D2" w:rsidP="00FB036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E69D5">
              <w:rPr>
                <w:rFonts w:ascii="Times New Roman" w:hAnsi="Times New Roman" w:cs="Times New Roman"/>
              </w:rPr>
              <w:t xml:space="preserve">Vertinimo paslaugų pirkimo paslaugos apmokamos iš programų techninės pagalbos lėšų. Planuojamas vertinimo paslaugų pirkimo biudžetas numatomas vadovaujančiosios institucijos prekių, paslaugų ir darbų viešųjų pirkimų plane. </w:t>
            </w:r>
          </w:p>
        </w:tc>
      </w:tr>
      <w:tr w:rsidR="001278D2" w:rsidRPr="00162AD8" w14:paraId="3E38F7D5" w14:textId="77777777" w:rsidTr="002F48CD">
        <w:tc>
          <w:tcPr>
            <w:tcW w:w="3114" w:type="dxa"/>
          </w:tcPr>
          <w:p w14:paraId="740BE0B8" w14:textId="77777777" w:rsidR="001278D2" w:rsidRPr="00162AD8" w:rsidRDefault="001278D2" w:rsidP="001278D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>Vertinimo kriterijai</w:t>
            </w:r>
          </w:p>
        </w:tc>
        <w:tc>
          <w:tcPr>
            <w:tcW w:w="11340" w:type="dxa"/>
          </w:tcPr>
          <w:p w14:paraId="06B8D588" w14:textId="77777777" w:rsidR="001278D2" w:rsidRPr="001F5E36" w:rsidRDefault="001278D2" w:rsidP="001278D2">
            <w:pPr>
              <w:ind w:left="-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Privalomi vertinimo kriterijai:</w:t>
            </w:r>
          </w:p>
          <w:p w14:paraId="7BE46EFC" w14:textId="77777777" w:rsidR="001278D2" w:rsidRPr="00162AD8" w:rsidRDefault="001278D2" w:rsidP="001278D2">
            <w:pPr>
              <w:pStyle w:val="ListParagraph"/>
              <w:numPr>
                <w:ilvl w:val="1"/>
                <w:numId w:val="1"/>
              </w:numPr>
              <w:ind w:left="318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>Efektyvumas (</w:t>
            </w:r>
            <w:proofErr w:type="spellStart"/>
            <w:r w:rsidRPr="00162AD8">
              <w:rPr>
                <w:rFonts w:ascii="Times New Roman" w:hAnsi="Times New Roman" w:cs="Times New Roman"/>
                <w:i/>
              </w:rPr>
              <w:t>effectiveness</w:t>
            </w:r>
            <w:proofErr w:type="spellEnd"/>
            <w:r w:rsidRPr="00162AD8">
              <w:rPr>
                <w:rFonts w:ascii="Times New Roman" w:hAnsi="Times New Roman" w:cs="Times New Roman"/>
              </w:rPr>
              <w:t>);</w:t>
            </w:r>
          </w:p>
          <w:p w14:paraId="0582BCAD" w14:textId="77777777" w:rsidR="001278D2" w:rsidRPr="00162AD8" w:rsidRDefault="001278D2" w:rsidP="001278D2">
            <w:pPr>
              <w:pStyle w:val="ListParagraph"/>
              <w:numPr>
                <w:ilvl w:val="1"/>
                <w:numId w:val="1"/>
              </w:numPr>
              <w:ind w:left="318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>Veiksmingumas</w:t>
            </w:r>
            <w:r w:rsidRPr="00162AD8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162AD8">
              <w:rPr>
                <w:rFonts w:ascii="Times New Roman" w:hAnsi="Times New Roman" w:cs="Times New Roman"/>
                <w:i/>
              </w:rPr>
              <w:t>efficiency</w:t>
            </w:r>
            <w:proofErr w:type="spellEnd"/>
            <w:r w:rsidRPr="00162AD8">
              <w:rPr>
                <w:rFonts w:ascii="Times New Roman" w:hAnsi="Times New Roman" w:cs="Times New Roman"/>
                <w:i/>
              </w:rPr>
              <w:t>)</w:t>
            </w:r>
            <w:r w:rsidRPr="00162AD8">
              <w:rPr>
                <w:rFonts w:ascii="Times New Roman" w:hAnsi="Times New Roman" w:cs="Times New Roman"/>
              </w:rPr>
              <w:t>;</w:t>
            </w:r>
          </w:p>
          <w:p w14:paraId="038CE788" w14:textId="77777777" w:rsidR="001278D2" w:rsidRPr="00162AD8" w:rsidRDefault="001278D2" w:rsidP="001278D2">
            <w:pPr>
              <w:pStyle w:val="ListParagraph"/>
              <w:numPr>
                <w:ilvl w:val="1"/>
                <w:numId w:val="1"/>
              </w:numPr>
              <w:ind w:left="318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>Aktualumas</w:t>
            </w:r>
            <w:r w:rsidRPr="00162AD8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162AD8">
              <w:rPr>
                <w:rFonts w:ascii="Times New Roman" w:hAnsi="Times New Roman" w:cs="Times New Roman"/>
                <w:i/>
              </w:rPr>
              <w:t>relevance</w:t>
            </w:r>
            <w:proofErr w:type="spellEnd"/>
            <w:r w:rsidRPr="00162AD8">
              <w:rPr>
                <w:rFonts w:ascii="Times New Roman" w:hAnsi="Times New Roman" w:cs="Times New Roman"/>
                <w:i/>
              </w:rPr>
              <w:t>)</w:t>
            </w:r>
            <w:r w:rsidRPr="00162AD8">
              <w:rPr>
                <w:rFonts w:ascii="Times New Roman" w:hAnsi="Times New Roman" w:cs="Times New Roman"/>
              </w:rPr>
              <w:t>;</w:t>
            </w:r>
          </w:p>
          <w:p w14:paraId="4F9B061A" w14:textId="77777777" w:rsidR="001278D2" w:rsidRPr="00162AD8" w:rsidRDefault="001278D2" w:rsidP="001278D2">
            <w:pPr>
              <w:pStyle w:val="ListParagraph"/>
              <w:numPr>
                <w:ilvl w:val="1"/>
                <w:numId w:val="1"/>
              </w:numPr>
              <w:ind w:left="318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>Suderinamumas</w:t>
            </w:r>
            <w:r w:rsidRPr="00162AD8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162AD8">
              <w:rPr>
                <w:rFonts w:ascii="Times New Roman" w:hAnsi="Times New Roman" w:cs="Times New Roman"/>
                <w:i/>
              </w:rPr>
              <w:t>coherence</w:t>
            </w:r>
            <w:proofErr w:type="spellEnd"/>
            <w:r w:rsidRPr="00162AD8">
              <w:rPr>
                <w:rFonts w:ascii="Times New Roman" w:hAnsi="Times New Roman" w:cs="Times New Roman"/>
                <w:i/>
              </w:rPr>
              <w:t>)</w:t>
            </w:r>
            <w:r w:rsidRPr="00162AD8">
              <w:rPr>
                <w:rFonts w:ascii="Times New Roman" w:hAnsi="Times New Roman" w:cs="Times New Roman"/>
              </w:rPr>
              <w:t>;</w:t>
            </w:r>
          </w:p>
          <w:p w14:paraId="0945E80B" w14:textId="77777777" w:rsidR="001278D2" w:rsidRDefault="001278D2" w:rsidP="001278D2">
            <w:pPr>
              <w:pStyle w:val="ListParagraph"/>
              <w:numPr>
                <w:ilvl w:val="1"/>
                <w:numId w:val="1"/>
              </w:numPr>
              <w:ind w:left="318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>Sąjungos pridėtinė vertė</w:t>
            </w:r>
            <w:r w:rsidRPr="00162AD8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162AD8">
              <w:rPr>
                <w:rFonts w:ascii="Times New Roman" w:hAnsi="Times New Roman" w:cs="Times New Roman"/>
                <w:i/>
              </w:rPr>
              <w:t>Union</w:t>
            </w:r>
            <w:proofErr w:type="spellEnd"/>
            <w:r w:rsidRPr="00162AD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62AD8">
              <w:rPr>
                <w:rFonts w:ascii="Times New Roman" w:hAnsi="Times New Roman" w:cs="Times New Roman"/>
                <w:i/>
              </w:rPr>
              <w:t>added</w:t>
            </w:r>
            <w:proofErr w:type="spellEnd"/>
            <w:r w:rsidRPr="00162AD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62AD8">
              <w:rPr>
                <w:rFonts w:ascii="Times New Roman" w:hAnsi="Times New Roman" w:cs="Times New Roman"/>
                <w:i/>
              </w:rPr>
              <w:t>value</w:t>
            </w:r>
            <w:proofErr w:type="spellEnd"/>
            <w:r w:rsidRPr="00162AD8">
              <w:rPr>
                <w:rFonts w:ascii="Times New Roman" w:hAnsi="Times New Roman" w:cs="Times New Roman"/>
                <w:i/>
              </w:rPr>
              <w:t>)</w:t>
            </w:r>
            <w:r w:rsidRPr="00162AD8">
              <w:rPr>
                <w:rFonts w:ascii="Times New Roman" w:hAnsi="Times New Roman" w:cs="Times New Roman"/>
              </w:rPr>
              <w:t>.</w:t>
            </w:r>
          </w:p>
          <w:p w14:paraId="59E3A43E" w14:textId="77777777" w:rsidR="001278D2" w:rsidRDefault="001278D2" w:rsidP="001278D2">
            <w:pPr>
              <w:ind w:left="-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Privalomi vertinimo </w:t>
            </w:r>
            <w:r w:rsidRPr="00A62399">
              <w:rPr>
                <w:rFonts w:ascii="Times New Roman" w:hAnsi="Times New Roman" w:cs="Times New Roman"/>
              </w:rPr>
              <w:t>kriterijai bus nustatyti vertinimo paslaugų pirkimo dokumentuose.</w:t>
            </w:r>
          </w:p>
          <w:p w14:paraId="0D20CBD9" w14:textId="56261242" w:rsidR="001278D2" w:rsidRPr="00041778" w:rsidRDefault="001278D2" w:rsidP="001278D2">
            <w:pPr>
              <w:ind w:left="-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</w:t>
            </w:r>
            <w:r w:rsidRPr="00041778">
              <w:rPr>
                <w:rFonts w:ascii="Times New Roman" w:hAnsi="Times New Roman" w:cs="Times New Roman"/>
              </w:rPr>
              <w:t>ertinimo paslaugų pirkimo dokumentuose</w:t>
            </w:r>
            <w:r>
              <w:rPr>
                <w:rFonts w:ascii="Times New Roman" w:hAnsi="Times New Roman" w:cs="Times New Roman"/>
              </w:rPr>
              <w:t xml:space="preserve"> taip pat gali būti nustatomi papildomi vertinimo </w:t>
            </w:r>
            <w:r w:rsidRPr="004E69D5">
              <w:rPr>
                <w:rFonts w:ascii="Times New Roman" w:hAnsi="Times New Roman" w:cs="Times New Roman"/>
              </w:rPr>
              <w:t xml:space="preserve">kriterijai / </w:t>
            </w:r>
            <w:r w:rsidR="00FB0367">
              <w:rPr>
                <w:rFonts w:ascii="Times New Roman" w:hAnsi="Times New Roman" w:cs="Times New Roman"/>
              </w:rPr>
              <w:t xml:space="preserve">vertinimo </w:t>
            </w:r>
            <w:r w:rsidRPr="004E69D5">
              <w:rPr>
                <w:rFonts w:ascii="Times New Roman" w:hAnsi="Times New Roman" w:cs="Times New Roman"/>
              </w:rPr>
              <w:t xml:space="preserve">aspektai, pvz., komunikacija, matomumas, horizontalūs principai, </w:t>
            </w:r>
            <w:r w:rsidR="00FB0367">
              <w:rPr>
                <w:rFonts w:ascii="Times New Roman" w:hAnsi="Times New Roman" w:cs="Times New Roman"/>
              </w:rPr>
              <w:t xml:space="preserve">programos </w:t>
            </w:r>
            <w:r w:rsidRPr="004E69D5">
              <w:rPr>
                <w:rFonts w:ascii="Times New Roman" w:hAnsi="Times New Roman" w:cs="Times New Roman"/>
              </w:rPr>
              <w:t>rodikliai, geroji praktika ir (ar) kitos prioritetinės sritys.</w:t>
            </w:r>
          </w:p>
        </w:tc>
      </w:tr>
      <w:tr w:rsidR="001278D2" w:rsidRPr="00162AD8" w14:paraId="1A3AFED7" w14:textId="77777777" w:rsidTr="002F48CD">
        <w:tc>
          <w:tcPr>
            <w:tcW w:w="3114" w:type="dxa"/>
          </w:tcPr>
          <w:p w14:paraId="2A888278" w14:textId="626CA346" w:rsidR="001278D2" w:rsidRPr="00FB0367" w:rsidRDefault="00FB0367" w:rsidP="00FB0367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Vertinimų </w:t>
            </w:r>
            <w:r w:rsidR="001278D2" w:rsidRPr="00FB0367">
              <w:rPr>
                <w:rFonts w:ascii="Times New Roman" w:hAnsi="Times New Roman" w:cs="Times New Roman"/>
              </w:rPr>
              <w:t>apimtis ir vertinimo klausimai</w:t>
            </w:r>
          </w:p>
        </w:tc>
        <w:tc>
          <w:tcPr>
            <w:tcW w:w="11340" w:type="dxa"/>
          </w:tcPr>
          <w:p w14:paraId="5201F223" w14:textId="3AB097E3" w:rsidR="001278D2" w:rsidRPr="00FB0367" w:rsidRDefault="001278D2" w:rsidP="001278D2">
            <w:pPr>
              <w:jc w:val="both"/>
              <w:rPr>
                <w:rFonts w:ascii="Times New Roman" w:hAnsi="Times New Roman" w:cs="Times New Roman"/>
              </w:rPr>
            </w:pPr>
            <w:r w:rsidRPr="00FB0367">
              <w:rPr>
                <w:rFonts w:ascii="Times New Roman" w:hAnsi="Times New Roman" w:cs="Times New Roman"/>
              </w:rPr>
              <w:t xml:space="preserve">Vertinimų metu turi būti įvertinta programų intervencijos logika, atsižvelgiant į </w:t>
            </w:r>
            <w:r w:rsidR="00FB0367">
              <w:rPr>
                <w:rFonts w:ascii="Times New Roman" w:hAnsi="Times New Roman" w:cs="Times New Roman"/>
              </w:rPr>
              <w:t>šio vertinimo plano 9</w:t>
            </w:r>
            <w:r w:rsidRPr="00FB0367">
              <w:rPr>
                <w:rFonts w:ascii="Times New Roman" w:hAnsi="Times New Roman" w:cs="Times New Roman"/>
              </w:rPr>
              <w:t xml:space="preserve"> punkte nurodytus vertinimų kriterijus ir </w:t>
            </w:r>
            <w:r w:rsidR="00FB0367" w:rsidRPr="00FB0367">
              <w:rPr>
                <w:rFonts w:ascii="Times New Roman" w:hAnsi="Times New Roman" w:cs="Times New Roman"/>
              </w:rPr>
              <w:t xml:space="preserve">programos konkretaus tikslo lygmeniu </w:t>
            </w:r>
            <w:r w:rsidRPr="00FB0367">
              <w:rPr>
                <w:rFonts w:ascii="Times New Roman" w:hAnsi="Times New Roman" w:cs="Times New Roman"/>
              </w:rPr>
              <w:t>įvertinant esamą situaciją, galimas programų spragas ir pakitusius poreikius. Vertinimai turi apimti programas, įskaitant jose numatytus konkrečius veiksmus</w:t>
            </w:r>
            <w:r w:rsidR="00A0712F">
              <w:rPr>
                <w:rFonts w:ascii="Times New Roman" w:hAnsi="Times New Roman" w:cs="Times New Roman"/>
              </w:rPr>
              <w:t>, temines priemones</w:t>
            </w:r>
            <w:r w:rsidR="00FB0367">
              <w:rPr>
                <w:rFonts w:ascii="Times New Roman" w:hAnsi="Times New Roman" w:cs="Times New Roman"/>
              </w:rPr>
              <w:t xml:space="preserve"> ar kitas papildomai skiriamas lėšas</w:t>
            </w:r>
            <w:r w:rsidRPr="00FB0367">
              <w:rPr>
                <w:rFonts w:ascii="Times New Roman" w:hAnsi="Times New Roman" w:cs="Times New Roman"/>
              </w:rPr>
              <w:t>. Vertinim</w:t>
            </w:r>
            <w:r w:rsidR="00A0712F">
              <w:rPr>
                <w:rFonts w:ascii="Times New Roman" w:hAnsi="Times New Roman" w:cs="Times New Roman"/>
              </w:rPr>
              <w:t>o metu gautos išvados ir teikiamos rekomendacijos</w:t>
            </w:r>
            <w:r w:rsidRPr="00FB0367">
              <w:rPr>
                <w:rFonts w:ascii="Times New Roman" w:hAnsi="Times New Roman" w:cs="Times New Roman"/>
              </w:rPr>
              <w:t xml:space="preserve"> turi būti pagrįst</w:t>
            </w:r>
            <w:r w:rsidR="00A0712F">
              <w:rPr>
                <w:rFonts w:ascii="Times New Roman" w:hAnsi="Times New Roman" w:cs="Times New Roman"/>
              </w:rPr>
              <w:t>os kritiškai įvertintais</w:t>
            </w:r>
            <w:r w:rsidRPr="00FB0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367">
              <w:rPr>
                <w:rFonts w:ascii="Times New Roman" w:hAnsi="Times New Roman" w:cs="Times New Roman"/>
              </w:rPr>
              <w:t>įrodymais</w:t>
            </w:r>
            <w:proofErr w:type="spellEnd"/>
            <w:r w:rsidRPr="00FB0367">
              <w:rPr>
                <w:rFonts w:ascii="Times New Roman" w:hAnsi="Times New Roman" w:cs="Times New Roman"/>
              </w:rPr>
              <w:t xml:space="preserve">. </w:t>
            </w:r>
          </w:p>
          <w:p w14:paraId="2FB2F990" w14:textId="77777777" w:rsidR="001278D2" w:rsidRPr="00FB0367" w:rsidRDefault="001278D2" w:rsidP="001278D2">
            <w:pPr>
              <w:jc w:val="both"/>
              <w:rPr>
                <w:rFonts w:ascii="Times New Roman" w:hAnsi="Times New Roman" w:cs="Times New Roman"/>
              </w:rPr>
            </w:pPr>
            <w:r w:rsidRPr="00FB0367">
              <w:rPr>
                <w:rFonts w:ascii="Times New Roman" w:hAnsi="Times New Roman" w:cs="Times New Roman"/>
              </w:rPr>
              <w:t>Laikotarpio vidurio vertinimo metu turėtų būti:</w:t>
            </w:r>
          </w:p>
          <w:p w14:paraId="001CE2C8" w14:textId="1C75988A" w:rsidR="001278D2" w:rsidRPr="00FB0367" w:rsidRDefault="001278D2" w:rsidP="001278D2">
            <w:pPr>
              <w:jc w:val="both"/>
              <w:rPr>
                <w:rFonts w:ascii="Times New Roman" w:hAnsi="Times New Roman" w:cs="Times New Roman"/>
              </w:rPr>
            </w:pPr>
            <w:r w:rsidRPr="00FB0367">
              <w:rPr>
                <w:rFonts w:ascii="Times New Roman" w:hAnsi="Times New Roman" w:cs="Times New Roman"/>
              </w:rPr>
              <w:t xml:space="preserve">- įvertinta pažanga siekiant programose nustatytų tikslų su </w:t>
            </w:r>
            <w:r w:rsidR="00A0712F">
              <w:rPr>
                <w:rFonts w:ascii="Times New Roman" w:hAnsi="Times New Roman" w:cs="Times New Roman"/>
              </w:rPr>
              <w:t xml:space="preserve">turimais </w:t>
            </w:r>
            <w:r w:rsidRPr="00FB0367">
              <w:rPr>
                <w:rFonts w:ascii="Times New Roman" w:hAnsi="Times New Roman" w:cs="Times New Roman"/>
              </w:rPr>
              <w:t>programose suplanuotais ištekliais, atsižvelgiant į programų patvirtinim</w:t>
            </w:r>
            <w:r w:rsidR="00A0712F">
              <w:rPr>
                <w:rFonts w:ascii="Times New Roman" w:hAnsi="Times New Roman" w:cs="Times New Roman"/>
              </w:rPr>
              <w:t>o moment</w:t>
            </w:r>
            <w:r w:rsidRPr="00FB0367">
              <w:rPr>
                <w:rFonts w:ascii="Times New Roman" w:hAnsi="Times New Roman" w:cs="Times New Roman"/>
              </w:rPr>
              <w:t xml:space="preserve">ą ir </w:t>
            </w:r>
            <w:r w:rsidR="00A91089">
              <w:rPr>
                <w:rFonts w:ascii="Times New Roman" w:hAnsi="Times New Roman" w:cs="Times New Roman"/>
              </w:rPr>
              <w:t xml:space="preserve">faktinę jų </w:t>
            </w:r>
            <w:r w:rsidRPr="00FB0367">
              <w:rPr>
                <w:rFonts w:ascii="Times New Roman" w:hAnsi="Times New Roman" w:cs="Times New Roman"/>
              </w:rPr>
              <w:t>įgyvendinimo pradžią;</w:t>
            </w:r>
          </w:p>
          <w:p w14:paraId="6F34C17C" w14:textId="77777777" w:rsidR="001278D2" w:rsidRPr="00FB0367" w:rsidRDefault="001278D2" w:rsidP="001278D2">
            <w:pPr>
              <w:jc w:val="both"/>
              <w:rPr>
                <w:rFonts w:ascii="Times New Roman" w:hAnsi="Times New Roman" w:cs="Times New Roman"/>
              </w:rPr>
            </w:pPr>
            <w:r w:rsidRPr="00FB0367">
              <w:rPr>
                <w:rFonts w:ascii="Times New Roman" w:hAnsi="Times New Roman" w:cs="Times New Roman"/>
              </w:rPr>
              <w:t>- suderinamumas su kitais finansavimo šaltiniais ir programomis;</w:t>
            </w:r>
          </w:p>
          <w:p w14:paraId="55EFA00B" w14:textId="58DBF700" w:rsidR="001278D2" w:rsidRPr="00FB0367" w:rsidRDefault="001278D2" w:rsidP="001278D2">
            <w:pPr>
              <w:jc w:val="both"/>
              <w:rPr>
                <w:rFonts w:ascii="Times New Roman" w:hAnsi="Times New Roman" w:cs="Times New Roman"/>
              </w:rPr>
            </w:pPr>
            <w:r w:rsidRPr="00FB0367">
              <w:rPr>
                <w:rFonts w:ascii="Times New Roman" w:hAnsi="Times New Roman" w:cs="Times New Roman"/>
              </w:rPr>
              <w:t xml:space="preserve">- nustatyti veiksniai, įtakojantys programose numatytų tikslų ir priemonių įgyvendinimą, ir prireikus – pasiūlytos naujos / papildomos priemonės, pateikiamos rekomendacijos </w:t>
            </w:r>
            <w:r w:rsidR="00A0712F">
              <w:rPr>
                <w:rFonts w:ascii="Times New Roman" w:hAnsi="Times New Roman" w:cs="Times New Roman"/>
              </w:rPr>
              <w:t>ir (</w:t>
            </w:r>
            <w:r w:rsidRPr="00FB0367">
              <w:rPr>
                <w:rFonts w:ascii="Times New Roman" w:hAnsi="Times New Roman" w:cs="Times New Roman"/>
              </w:rPr>
              <w:t>ar</w:t>
            </w:r>
            <w:r w:rsidR="00A0712F">
              <w:rPr>
                <w:rFonts w:ascii="Times New Roman" w:hAnsi="Times New Roman" w:cs="Times New Roman"/>
              </w:rPr>
              <w:t>)</w:t>
            </w:r>
            <w:r w:rsidRPr="00FB0367">
              <w:rPr>
                <w:rFonts w:ascii="Times New Roman" w:hAnsi="Times New Roman" w:cs="Times New Roman"/>
              </w:rPr>
              <w:t xml:space="preserve"> atitinkamos programos korekcijos. Rekomendacijos turi būti aiškios ir realios, nurodant adresatą ir jam rekomenduojamus atlikti veiksmus;</w:t>
            </w:r>
          </w:p>
          <w:p w14:paraId="64DBA0BB" w14:textId="183C4B44" w:rsidR="001278D2" w:rsidRPr="00A0712F" w:rsidRDefault="001278D2" w:rsidP="001278D2">
            <w:pPr>
              <w:jc w:val="both"/>
              <w:rPr>
                <w:rFonts w:ascii="Times New Roman" w:hAnsi="Times New Roman" w:cs="Times New Roman"/>
              </w:rPr>
            </w:pPr>
            <w:r w:rsidRPr="00FB0367">
              <w:rPr>
                <w:rFonts w:ascii="Times New Roman" w:hAnsi="Times New Roman" w:cs="Times New Roman"/>
              </w:rPr>
              <w:t>- įvertintos programų ir jų projektų valdymo procedūros, ypatingai programos rodiklių stebėsenos tvarka</w:t>
            </w:r>
            <w:r w:rsidR="00A0712F">
              <w:rPr>
                <w:rFonts w:ascii="Times New Roman" w:hAnsi="Times New Roman" w:cs="Times New Roman"/>
              </w:rPr>
              <w:t xml:space="preserve">. Vertinant nustatytas </w:t>
            </w:r>
            <w:r w:rsidR="00A0712F" w:rsidRPr="00A0712F">
              <w:rPr>
                <w:rFonts w:ascii="Times New Roman" w:hAnsi="Times New Roman" w:cs="Times New Roman"/>
              </w:rPr>
              <w:t xml:space="preserve">programų ir jų projektų valdymo </w:t>
            </w:r>
            <w:r w:rsidR="00A0712F">
              <w:rPr>
                <w:rFonts w:ascii="Times New Roman" w:hAnsi="Times New Roman" w:cs="Times New Roman"/>
              </w:rPr>
              <w:t>procedūra</w:t>
            </w:r>
            <w:r w:rsidR="00A0712F" w:rsidRPr="00A0712F">
              <w:rPr>
                <w:rFonts w:ascii="Times New Roman" w:hAnsi="Times New Roman" w:cs="Times New Roman"/>
              </w:rPr>
              <w:t>s</w:t>
            </w:r>
            <w:r w:rsidR="00A0712F">
              <w:rPr>
                <w:rFonts w:ascii="Times New Roman" w:hAnsi="Times New Roman" w:cs="Times New Roman"/>
              </w:rPr>
              <w:t>,</w:t>
            </w:r>
            <w:r w:rsidRPr="00FB0367">
              <w:rPr>
                <w:rFonts w:ascii="Times New Roman" w:hAnsi="Times New Roman" w:cs="Times New Roman"/>
              </w:rPr>
              <w:t xml:space="preserve"> </w:t>
            </w:r>
            <w:r w:rsidR="00A0712F">
              <w:rPr>
                <w:rFonts w:ascii="Times New Roman" w:hAnsi="Times New Roman" w:cs="Times New Roman"/>
              </w:rPr>
              <w:t xml:space="preserve">reikėtų </w:t>
            </w:r>
            <w:r w:rsidR="00A91089">
              <w:rPr>
                <w:rFonts w:ascii="Times New Roman" w:hAnsi="Times New Roman" w:cs="Times New Roman"/>
              </w:rPr>
              <w:t>atsižvelgti į</w:t>
            </w:r>
            <w:r w:rsidRPr="00A0712F">
              <w:rPr>
                <w:rFonts w:ascii="Times New Roman" w:hAnsi="Times New Roman" w:cs="Times New Roman"/>
              </w:rPr>
              <w:t xml:space="preserve"> nacionalinių strateginį valdymą reglamentuojančių teisės aktų</w:t>
            </w:r>
            <w:r w:rsidR="00A0712F" w:rsidRPr="00A0712F">
              <w:rPr>
                <w:rFonts w:ascii="Times New Roman" w:hAnsi="Times New Roman" w:cs="Times New Roman"/>
              </w:rPr>
              <w:t xml:space="preserve"> (pvz., Strateginio valdymo metodikos)</w:t>
            </w:r>
            <w:r w:rsidRPr="00A0712F">
              <w:rPr>
                <w:rFonts w:ascii="Times New Roman" w:hAnsi="Times New Roman" w:cs="Times New Roman"/>
              </w:rPr>
              <w:t xml:space="preserve"> reikalavimų </w:t>
            </w:r>
            <w:r w:rsidR="00A0712F">
              <w:rPr>
                <w:rFonts w:ascii="Times New Roman" w:hAnsi="Times New Roman" w:cs="Times New Roman"/>
              </w:rPr>
              <w:t xml:space="preserve">įtaką </w:t>
            </w:r>
            <w:r w:rsidRPr="00A0712F">
              <w:rPr>
                <w:rFonts w:ascii="Times New Roman" w:hAnsi="Times New Roman" w:cs="Times New Roman"/>
              </w:rPr>
              <w:t>programos bei projektų valdymui;</w:t>
            </w:r>
          </w:p>
          <w:p w14:paraId="58B224DC" w14:textId="77777777" w:rsidR="001278D2" w:rsidRPr="00FB0367" w:rsidRDefault="001278D2" w:rsidP="001278D2">
            <w:pPr>
              <w:jc w:val="both"/>
              <w:rPr>
                <w:rFonts w:ascii="Times New Roman" w:hAnsi="Times New Roman" w:cs="Times New Roman"/>
              </w:rPr>
            </w:pPr>
            <w:r w:rsidRPr="00FB0367">
              <w:rPr>
                <w:rFonts w:ascii="Times New Roman" w:hAnsi="Times New Roman" w:cs="Times New Roman"/>
              </w:rPr>
              <w:t>- įvertinti kiti programos valdymui ir įgyvendinimui svarbūs aspektai.</w:t>
            </w:r>
          </w:p>
          <w:p w14:paraId="453D0096" w14:textId="77777777" w:rsidR="001278D2" w:rsidRPr="00FB0367" w:rsidRDefault="001278D2" w:rsidP="001278D2">
            <w:pPr>
              <w:jc w:val="both"/>
              <w:rPr>
                <w:rFonts w:ascii="Times New Roman" w:hAnsi="Times New Roman" w:cs="Times New Roman"/>
              </w:rPr>
            </w:pPr>
            <w:r w:rsidRPr="00FB0367">
              <w:rPr>
                <w:rFonts w:ascii="Times New Roman" w:hAnsi="Times New Roman" w:cs="Times New Roman"/>
              </w:rPr>
              <w:t>Atliekant galutinį vertinimą turėtų būti įvertintas programų įgyvendinimo poveikis ir kiti aspektai, aktualūs atsižvelgiant į programų įgyvendinimo etapą ir pasiektus rezultatus.</w:t>
            </w:r>
          </w:p>
          <w:p w14:paraId="504C4D36" w14:textId="77777777" w:rsidR="001278D2" w:rsidRPr="00FB0367" w:rsidRDefault="001278D2" w:rsidP="001278D2">
            <w:pPr>
              <w:jc w:val="both"/>
              <w:rPr>
                <w:rFonts w:ascii="Times New Roman" w:hAnsi="Times New Roman" w:cs="Times New Roman"/>
              </w:rPr>
            </w:pPr>
            <w:r w:rsidRPr="00FB0367">
              <w:rPr>
                <w:rFonts w:ascii="Times New Roman" w:hAnsi="Times New Roman" w:cs="Times New Roman"/>
              </w:rPr>
              <w:t xml:space="preserve">Preliminarūs vertinimo klausimai pateikiami šio vertinimo plano </w:t>
            </w:r>
            <w:proofErr w:type="spellStart"/>
            <w:r w:rsidRPr="00FB0367">
              <w:rPr>
                <w:rFonts w:ascii="Times New Roman" w:hAnsi="Times New Roman" w:cs="Times New Roman"/>
                <w:lang w:val="en-US"/>
              </w:rPr>
              <w:t>priede</w:t>
            </w:r>
            <w:proofErr w:type="spellEnd"/>
            <w:r w:rsidRPr="00FB0367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  <w:tr w:rsidR="001278D2" w:rsidRPr="00162AD8" w14:paraId="674205DF" w14:textId="77777777" w:rsidTr="002F48CD">
        <w:tc>
          <w:tcPr>
            <w:tcW w:w="3114" w:type="dxa"/>
          </w:tcPr>
          <w:p w14:paraId="644F38FF" w14:textId="7737D80A" w:rsidR="001278D2" w:rsidRPr="00170E19" w:rsidRDefault="00D4432E" w:rsidP="001278D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color w:val="FF0000"/>
              </w:rPr>
            </w:pPr>
            <w:r w:rsidRPr="00D4432E">
              <w:rPr>
                <w:rFonts w:ascii="Times New Roman" w:hAnsi="Times New Roman" w:cs="Times New Roman"/>
              </w:rPr>
              <w:t>Vertinimo m</w:t>
            </w:r>
            <w:r w:rsidR="001278D2" w:rsidRPr="00D4432E">
              <w:rPr>
                <w:rFonts w:ascii="Times New Roman" w:hAnsi="Times New Roman" w:cs="Times New Roman"/>
              </w:rPr>
              <w:t xml:space="preserve">etodai ir reikalavimai duomenims </w:t>
            </w:r>
          </w:p>
        </w:tc>
        <w:tc>
          <w:tcPr>
            <w:tcW w:w="11340" w:type="dxa"/>
          </w:tcPr>
          <w:p w14:paraId="4E4A85FF" w14:textId="3021B516" w:rsidR="001278D2" w:rsidRPr="00D4432E" w:rsidRDefault="001278D2" w:rsidP="001278D2">
            <w:pPr>
              <w:jc w:val="both"/>
              <w:rPr>
                <w:rFonts w:ascii="Times New Roman" w:hAnsi="Times New Roman" w:cs="Times New Roman"/>
              </w:rPr>
            </w:pPr>
            <w:r w:rsidRPr="00D4432E">
              <w:rPr>
                <w:rFonts w:ascii="Times New Roman" w:hAnsi="Times New Roman" w:cs="Times New Roman"/>
              </w:rPr>
              <w:t xml:space="preserve">Vertinimų metu turi būti naudojami tinkami </w:t>
            </w:r>
            <w:r w:rsidR="00D77495">
              <w:rPr>
                <w:rFonts w:ascii="Times New Roman" w:hAnsi="Times New Roman" w:cs="Times New Roman"/>
              </w:rPr>
              <w:t xml:space="preserve">vertinimo </w:t>
            </w:r>
            <w:r w:rsidRPr="00D4432E">
              <w:rPr>
                <w:rFonts w:ascii="Times New Roman" w:hAnsi="Times New Roman" w:cs="Times New Roman"/>
              </w:rPr>
              <w:t xml:space="preserve">metodai bei patikimi duomenys. </w:t>
            </w:r>
          </w:p>
          <w:p w14:paraId="1C036F0A" w14:textId="0DBD09C3" w:rsidR="001278D2" w:rsidRPr="00D4432E" w:rsidRDefault="001278D2" w:rsidP="001278D2">
            <w:pPr>
              <w:jc w:val="both"/>
              <w:rPr>
                <w:rFonts w:ascii="Times New Roman" w:hAnsi="Times New Roman" w:cs="Times New Roman"/>
              </w:rPr>
            </w:pPr>
            <w:r w:rsidRPr="00D4432E">
              <w:rPr>
                <w:rFonts w:ascii="Times New Roman" w:hAnsi="Times New Roman" w:cs="Times New Roman"/>
              </w:rPr>
              <w:t>Vertinimo metu gali būti naudojami programos intervencijos logikos rekonstravimo, vertinimo matricos, poreik</w:t>
            </w:r>
            <w:r w:rsidR="00D77495">
              <w:rPr>
                <w:rFonts w:ascii="Times New Roman" w:hAnsi="Times New Roman" w:cs="Times New Roman"/>
              </w:rPr>
              <w:t>i</w:t>
            </w:r>
            <w:r w:rsidRPr="00D4432E">
              <w:rPr>
                <w:rFonts w:ascii="Times New Roman" w:hAnsi="Times New Roman" w:cs="Times New Roman"/>
              </w:rPr>
              <w:t>ų įvertinimo, suinteresuotų šalių žemėlapio ir  konsultacijų strategijos sudarymo, programos finansinės ir įgyvendinimo pažangos analizės, kitų duomenų / dokumentų analizės, interviu, modeliavimo, apibendrinimo ir kitus metodus. Konkrečius vertinimui aktualius metodus pasiūlo vertintojas vertinimo paslaugų pirkimo metu.</w:t>
            </w:r>
          </w:p>
          <w:p w14:paraId="4AC79F95" w14:textId="2A04FD92" w:rsidR="001278D2" w:rsidRPr="00162AD8" w:rsidRDefault="001278D2" w:rsidP="00D77495">
            <w:pPr>
              <w:jc w:val="both"/>
              <w:rPr>
                <w:rFonts w:ascii="Times New Roman" w:hAnsi="Times New Roman" w:cs="Times New Roman"/>
              </w:rPr>
            </w:pPr>
            <w:r w:rsidRPr="00D4432E">
              <w:rPr>
                <w:rFonts w:ascii="Times New Roman" w:hAnsi="Times New Roman" w:cs="Times New Roman"/>
              </w:rPr>
              <w:t>Duomenys vertinimui atlikti renkami iš projektų vykdytojų teikiamų projektų įgyvendinimo dokumentų, tarpinės institucijos teikiamų ataskaitų vadovaujančiajai institucijai, vadovaujančiosios institucijos teikiamų ataskaitų Europos Komisijai, audito institucijos atliktų auditų</w:t>
            </w:r>
            <w:r w:rsidR="00D77495">
              <w:rPr>
                <w:rFonts w:ascii="Times New Roman" w:hAnsi="Times New Roman" w:cs="Times New Roman"/>
              </w:rPr>
              <w:t xml:space="preserve"> dokumentų</w:t>
            </w:r>
            <w:r w:rsidRPr="00D4432E">
              <w:rPr>
                <w:rFonts w:ascii="Times New Roman" w:hAnsi="Times New Roman" w:cs="Times New Roman"/>
              </w:rPr>
              <w:t xml:space="preserve">, </w:t>
            </w:r>
            <w:r w:rsidR="00D77495" w:rsidRPr="00D4432E">
              <w:rPr>
                <w:rFonts w:ascii="Times New Roman" w:hAnsi="Times New Roman" w:cs="Times New Roman"/>
              </w:rPr>
              <w:t xml:space="preserve">Stebėsenos komiteto veiklos dokumentų, </w:t>
            </w:r>
            <w:r w:rsidRPr="00D4432E">
              <w:rPr>
                <w:rFonts w:ascii="Times New Roman" w:hAnsi="Times New Roman" w:cs="Times New Roman"/>
              </w:rPr>
              <w:t xml:space="preserve">elektroninio keitimosi duomenimis sistemos (VSFSVVP IS), </w:t>
            </w:r>
            <w:r w:rsidR="007272F8">
              <w:rPr>
                <w:rFonts w:ascii="Times New Roman" w:hAnsi="Times New Roman" w:cs="Times New Roman"/>
              </w:rPr>
              <w:t xml:space="preserve">Europos Sąjungos ir nacionalinių teisės aktų, </w:t>
            </w:r>
            <w:r w:rsidRPr="00D4432E">
              <w:rPr>
                <w:rFonts w:ascii="Times New Roman" w:hAnsi="Times New Roman" w:cs="Times New Roman"/>
              </w:rPr>
              <w:t xml:space="preserve">vadovaujančiosios </w:t>
            </w:r>
            <w:r w:rsidRPr="00921E5E">
              <w:rPr>
                <w:rFonts w:ascii="Times New Roman" w:hAnsi="Times New Roman" w:cs="Times New Roman"/>
              </w:rPr>
              <w:t xml:space="preserve">ir tarpinės institucijų interneto svetainių, </w:t>
            </w:r>
            <w:r>
              <w:rPr>
                <w:rFonts w:ascii="Times New Roman" w:hAnsi="Times New Roman" w:cs="Times New Roman"/>
              </w:rPr>
              <w:t xml:space="preserve">statistinių duomenų </w:t>
            </w:r>
            <w:r w:rsidRPr="00921E5E">
              <w:rPr>
                <w:rFonts w:ascii="Times New Roman" w:hAnsi="Times New Roman" w:cs="Times New Roman"/>
              </w:rPr>
              <w:t xml:space="preserve">bei kitų </w:t>
            </w:r>
            <w:r>
              <w:rPr>
                <w:rFonts w:ascii="Times New Roman" w:hAnsi="Times New Roman" w:cs="Times New Roman"/>
              </w:rPr>
              <w:t>prieinamų</w:t>
            </w:r>
            <w:r w:rsidRPr="00921E5E">
              <w:rPr>
                <w:rFonts w:ascii="Times New Roman" w:hAnsi="Times New Roman" w:cs="Times New Roman"/>
              </w:rPr>
              <w:t xml:space="preserve"> duomenų šaltinių.</w:t>
            </w:r>
          </w:p>
        </w:tc>
      </w:tr>
      <w:tr w:rsidR="001278D2" w:rsidRPr="00162AD8" w14:paraId="2DCAEF4C" w14:textId="77777777" w:rsidTr="002F48CD">
        <w:tc>
          <w:tcPr>
            <w:tcW w:w="3114" w:type="dxa"/>
          </w:tcPr>
          <w:p w14:paraId="0968891F" w14:textId="2AAD737B" w:rsidR="001278D2" w:rsidRPr="00162AD8" w:rsidRDefault="004D43DD" w:rsidP="004D43DD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Vertinimo ataskait</w:t>
            </w:r>
            <w:r w:rsidR="001278D2">
              <w:rPr>
                <w:rFonts w:ascii="Times New Roman" w:hAnsi="Times New Roman" w:cs="Times New Roman"/>
              </w:rPr>
              <w:t xml:space="preserve">ų </w:t>
            </w:r>
            <w:r w:rsidR="001278D2" w:rsidRPr="00162AD8">
              <w:rPr>
                <w:rFonts w:ascii="Times New Roman" w:hAnsi="Times New Roman" w:cs="Times New Roman"/>
              </w:rPr>
              <w:t>paskelbimas</w:t>
            </w:r>
          </w:p>
        </w:tc>
        <w:tc>
          <w:tcPr>
            <w:tcW w:w="11340" w:type="dxa"/>
          </w:tcPr>
          <w:p w14:paraId="0A611580" w14:textId="65CB8023" w:rsidR="001278D2" w:rsidRPr="005915A7" w:rsidRDefault="001278D2" w:rsidP="001278D2">
            <w:pPr>
              <w:jc w:val="both"/>
              <w:rPr>
                <w:rFonts w:ascii="Times New Roman" w:hAnsi="Times New Roman" w:cs="Times New Roman"/>
              </w:rPr>
            </w:pPr>
            <w:r w:rsidRPr="00162AD8">
              <w:rPr>
                <w:rFonts w:ascii="Times New Roman" w:hAnsi="Times New Roman" w:cs="Times New Roman"/>
              </w:rPr>
              <w:t>Parengt</w:t>
            </w:r>
            <w:r>
              <w:rPr>
                <w:rFonts w:ascii="Times New Roman" w:hAnsi="Times New Roman" w:cs="Times New Roman"/>
              </w:rPr>
              <w:t xml:space="preserve">os </w:t>
            </w:r>
            <w:r w:rsidRPr="00162AD8">
              <w:rPr>
                <w:rFonts w:ascii="Times New Roman" w:hAnsi="Times New Roman" w:cs="Times New Roman"/>
              </w:rPr>
              <w:t>vertinimo ataskait</w:t>
            </w:r>
            <w:r>
              <w:rPr>
                <w:rFonts w:ascii="Times New Roman" w:hAnsi="Times New Roman" w:cs="Times New Roman"/>
              </w:rPr>
              <w:t>os</w:t>
            </w:r>
            <w:r w:rsidRPr="00162AD8">
              <w:rPr>
                <w:rFonts w:ascii="Times New Roman" w:hAnsi="Times New Roman" w:cs="Times New Roman"/>
              </w:rPr>
              <w:t xml:space="preserve"> bus paskelbt</w:t>
            </w:r>
            <w:r>
              <w:rPr>
                <w:rFonts w:ascii="Times New Roman" w:hAnsi="Times New Roman" w:cs="Times New Roman"/>
              </w:rPr>
              <w:t xml:space="preserve">os </w:t>
            </w:r>
            <w:r w:rsidRPr="00162AD8">
              <w:rPr>
                <w:rFonts w:ascii="Times New Roman" w:hAnsi="Times New Roman" w:cs="Times New Roman"/>
              </w:rPr>
              <w:t>vadovaujančiosios institucijos tinklapyje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D7200F">
                <w:rPr>
                  <w:rStyle w:val="Hyperlink"/>
                  <w:rFonts w:ascii="Times New Roman" w:hAnsi="Times New Roman" w:cs="Times New Roman"/>
                </w:rPr>
                <w:t>www.isf.lt</w:t>
              </w:r>
            </w:hyperlink>
            <w:r>
              <w:rPr>
                <w:rFonts w:ascii="Times New Roman" w:hAnsi="Times New Roman" w:cs="Times New Roman"/>
              </w:rPr>
              <w:t xml:space="preserve"> ir </w:t>
            </w:r>
            <w:hyperlink r:id="rId10" w:history="1">
              <w:r w:rsidR="00FB22A0" w:rsidRPr="00D7200F">
                <w:rPr>
                  <w:rStyle w:val="Hyperlink"/>
                  <w:rFonts w:ascii="Times New Roman" w:hAnsi="Times New Roman" w:cs="Times New Roman"/>
                </w:rPr>
                <w:t>https://www.vsfsvvp.lt</w:t>
              </w:r>
            </w:hyperlink>
            <w:r>
              <w:rPr>
                <w:rFonts w:ascii="Times New Roman" w:hAnsi="Times New Roman" w:cs="Times New Roman"/>
              </w:rPr>
              <w:t xml:space="preserve">, kaip numatyta Bendrųjų nuostatų reglamento (toliau – BNR) 44 straipsnio </w:t>
            </w: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 w:rsidRPr="005915A7">
              <w:rPr>
                <w:rFonts w:ascii="Times New Roman" w:hAnsi="Times New Roman" w:cs="Times New Roman"/>
              </w:rPr>
              <w:t>dalyje.</w:t>
            </w:r>
          </w:p>
          <w:p w14:paraId="49827B8F" w14:textId="00AEE254" w:rsidR="001278D2" w:rsidRPr="00162AD8" w:rsidRDefault="001278D2" w:rsidP="004D43DD">
            <w:pPr>
              <w:jc w:val="both"/>
              <w:rPr>
                <w:rFonts w:ascii="Times New Roman" w:hAnsi="Times New Roman" w:cs="Times New Roman"/>
              </w:rPr>
            </w:pPr>
            <w:r w:rsidRPr="005915A7">
              <w:rPr>
                <w:rFonts w:ascii="Times New Roman" w:hAnsi="Times New Roman" w:cs="Times New Roman"/>
              </w:rPr>
              <w:t>Vertinimo ataskaitos ta</w:t>
            </w:r>
            <w:r w:rsidR="004D43DD">
              <w:rPr>
                <w:rFonts w:ascii="Times New Roman" w:hAnsi="Times New Roman" w:cs="Times New Roman"/>
              </w:rPr>
              <w:t>ip pat bus pristatyt</w:t>
            </w:r>
            <w:r w:rsidRPr="005915A7">
              <w:rPr>
                <w:rFonts w:ascii="Times New Roman" w:hAnsi="Times New Roman" w:cs="Times New Roman"/>
              </w:rPr>
              <w:t>os SVVP ir VSF St</w:t>
            </w:r>
            <w:r>
              <w:rPr>
                <w:rFonts w:ascii="Times New Roman" w:hAnsi="Times New Roman" w:cs="Times New Roman"/>
              </w:rPr>
              <w:t>e</w:t>
            </w:r>
            <w:r w:rsidRPr="005915A7">
              <w:rPr>
                <w:rFonts w:ascii="Times New Roman" w:hAnsi="Times New Roman" w:cs="Times New Roman"/>
              </w:rPr>
              <w:t>bėsenos komitetui,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5A7">
              <w:rPr>
                <w:rFonts w:ascii="Times New Roman" w:hAnsi="Times New Roman" w:cs="Times New Roman"/>
              </w:rPr>
              <w:t>kaip numatyta BNR 40</w:t>
            </w:r>
            <w:r>
              <w:rPr>
                <w:rFonts w:ascii="Times New Roman" w:hAnsi="Times New Roman" w:cs="Times New Roman"/>
              </w:rPr>
              <w:t xml:space="preserve"> straipsnio 1 (e) dalyje.</w:t>
            </w:r>
          </w:p>
        </w:tc>
      </w:tr>
    </w:tbl>
    <w:p w14:paraId="43BEEEB6" w14:textId="77777777" w:rsidR="0001519F" w:rsidRDefault="0001519F" w:rsidP="00C951F1">
      <w:pPr>
        <w:spacing w:after="0"/>
        <w:rPr>
          <w:rFonts w:ascii="Times New Roman" w:hAnsi="Times New Roman" w:cs="Times New Roman"/>
        </w:rPr>
      </w:pPr>
    </w:p>
    <w:p w14:paraId="0ED8A35F" w14:textId="77777777" w:rsidR="002F48CD" w:rsidRDefault="002F48CD" w:rsidP="008641E2">
      <w:pPr>
        <w:spacing w:after="0"/>
        <w:rPr>
          <w:rFonts w:ascii="Times New Roman" w:hAnsi="Times New Roman" w:cs="Times New Roman"/>
          <w:lang w:val="en-US"/>
        </w:rPr>
      </w:pPr>
    </w:p>
    <w:p w14:paraId="333CB418" w14:textId="77777777" w:rsidR="000C7665" w:rsidRDefault="000C7665" w:rsidP="002F48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808F641" w14:textId="77777777" w:rsidR="000C7665" w:rsidRDefault="000C7665" w:rsidP="002F48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8003287" w14:textId="5CAE5BEA" w:rsidR="002F48CD" w:rsidRPr="00CE32BD" w:rsidRDefault="002F48CD" w:rsidP="002F48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E32BD">
        <w:rPr>
          <w:rFonts w:ascii="Times New Roman" w:hAnsi="Times New Roman" w:cs="Times New Roman"/>
          <w:sz w:val="20"/>
          <w:szCs w:val="20"/>
        </w:rPr>
        <w:lastRenderedPageBreak/>
        <w:t>Vertinimo plano priedas</w:t>
      </w:r>
    </w:p>
    <w:p w14:paraId="2A9F35AB" w14:textId="77777777" w:rsidR="00CE32BD" w:rsidRDefault="00CE32BD" w:rsidP="00CE32BD">
      <w:pPr>
        <w:spacing w:after="0"/>
        <w:jc w:val="center"/>
        <w:rPr>
          <w:rFonts w:ascii="Times New Roman" w:hAnsi="Times New Roman" w:cs="Times New Roman"/>
          <w:b/>
        </w:rPr>
      </w:pPr>
    </w:p>
    <w:p w14:paraId="38DAA5AE" w14:textId="77777777" w:rsidR="002F48CD" w:rsidRPr="00CE32BD" w:rsidRDefault="00CE32BD" w:rsidP="00CE32B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CE32BD">
        <w:rPr>
          <w:rFonts w:ascii="Times New Roman" w:hAnsi="Times New Roman" w:cs="Times New Roman"/>
          <w:b/>
        </w:rPr>
        <w:t>PRELIMINARŪS VERTINIMO KLAUSIMAI</w:t>
      </w:r>
      <w:r>
        <w:rPr>
          <w:rFonts w:ascii="Times New Roman" w:hAnsi="Times New Roman" w:cs="Times New Roman"/>
          <w:b/>
        </w:rPr>
        <w:t xml:space="preserve"> PAGAL PRIVALOMUS VERTINIMO KRITERIJUS</w:t>
      </w:r>
    </w:p>
    <w:p w14:paraId="3712E5C5" w14:textId="16ACE8AA" w:rsidR="00CE32BD" w:rsidRDefault="00CE32BD" w:rsidP="00CE32BD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5121D549" w14:textId="77777777" w:rsidR="00781FC0" w:rsidRDefault="00781FC0" w:rsidP="00B771E2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646"/>
        <w:gridCol w:w="3227"/>
        <w:gridCol w:w="9581"/>
      </w:tblGrid>
      <w:tr w:rsidR="002F48CD" w:rsidRPr="002F48CD" w14:paraId="58E97951" w14:textId="77777777" w:rsidTr="00B771E2">
        <w:tc>
          <w:tcPr>
            <w:tcW w:w="1646" w:type="dxa"/>
            <w:shd w:val="clear" w:color="auto" w:fill="D9D9D9" w:themeFill="background1" w:themeFillShade="D9"/>
          </w:tcPr>
          <w:p w14:paraId="6B057D12" w14:textId="77777777" w:rsidR="002F48CD" w:rsidRPr="002F48CD" w:rsidRDefault="002F48CD" w:rsidP="002F48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8CD">
              <w:rPr>
                <w:rFonts w:ascii="Times New Roman" w:hAnsi="Times New Roman" w:cs="Times New Roman"/>
                <w:b/>
              </w:rPr>
              <w:t>Vertinimo kriterijus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14:paraId="4C9C18D2" w14:textId="77777777" w:rsidR="002F48CD" w:rsidRPr="002F48CD" w:rsidRDefault="002F48CD" w:rsidP="002F48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8CD">
              <w:rPr>
                <w:rFonts w:ascii="Times New Roman" w:hAnsi="Times New Roman" w:cs="Times New Roman"/>
                <w:b/>
              </w:rPr>
              <w:t>Vertinimo klausimai</w:t>
            </w:r>
          </w:p>
        </w:tc>
        <w:tc>
          <w:tcPr>
            <w:tcW w:w="9581" w:type="dxa"/>
            <w:shd w:val="clear" w:color="auto" w:fill="D9D9D9" w:themeFill="background1" w:themeFillShade="D9"/>
          </w:tcPr>
          <w:p w14:paraId="1B70FEBE" w14:textId="77777777" w:rsidR="002F48CD" w:rsidRPr="002F48CD" w:rsidRDefault="002F48CD" w:rsidP="002F48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8CD">
              <w:rPr>
                <w:rFonts w:ascii="Times New Roman" w:hAnsi="Times New Roman" w:cs="Times New Roman"/>
                <w:b/>
              </w:rPr>
              <w:t>Preliminarūs vertinimo aspektai</w:t>
            </w:r>
          </w:p>
        </w:tc>
      </w:tr>
      <w:tr w:rsidR="002F48CD" w:rsidRPr="002F48CD" w14:paraId="4BFA9B2D" w14:textId="77777777" w:rsidTr="00B771E2">
        <w:tc>
          <w:tcPr>
            <w:tcW w:w="1646" w:type="dxa"/>
            <w:vMerge w:val="restart"/>
            <w:shd w:val="clear" w:color="auto" w:fill="F2F2F2" w:themeFill="background1" w:themeFillShade="F2"/>
          </w:tcPr>
          <w:p w14:paraId="0FDFFE68" w14:textId="77777777" w:rsidR="002F48CD" w:rsidRPr="002F48CD" w:rsidRDefault="002F48CD" w:rsidP="002F48CD">
            <w:pPr>
              <w:rPr>
                <w:rFonts w:ascii="Times New Roman" w:hAnsi="Times New Roman" w:cs="Times New Roman"/>
              </w:rPr>
            </w:pPr>
            <w:r w:rsidRPr="002F48CD">
              <w:rPr>
                <w:rFonts w:ascii="Times New Roman" w:hAnsi="Times New Roman" w:cs="Times New Roman"/>
              </w:rPr>
              <w:t>Efektyvumas (</w:t>
            </w:r>
            <w:proofErr w:type="spellStart"/>
            <w:r w:rsidRPr="002F48CD">
              <w:rPr>
                <w:rFonts w:ascii="Times New Roman" w:hAnsi="Times New Roman" w:cs="Times New Roman"/>
                <w:i/>
              </w:rPr>
              <w:t>effectiveness</w:t>
            </w:r>
            <w:proofErr w:type="spellEnd"/>
            <w:r w:rsidRPr="002F48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27" w:type="dxa"/>
          </w:tcPr>
          <w:p w14:paraId="1F2F976D" w14:textId="77777777" w:rsidR="002F48CD" w:rsidRPr="002F48CD" w:rsidRDefault="002F48CD" w:rsidP="002F4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Kiek </w:t>
            </w:r>
            <w:r w:rsidRPr="002F48CD">
              <w:rPr>
                <w:rFonts w:ascii="Times New Roman" w:hAnsi="Times New Roman" w:cs="Times New Roman"/>
              </w:rPr>
              <w:t xml:space="preserve">programa </w:t>
            </w:r>
            <w:r>
              <w:rPr>
                <w:rFonts w:ascii="Times New Roman" w:hAnsi="Times New Roman" w:cs="Times New Roman"/>
              </w:rPr>
              <w:t>atitinka</w:t>
            </w:r>
          </w:p>
          <w:p w14:paraId="7FD0FA8C" w14:textId="77777777" w:rsidR="002F48CD" w:rsidRPr="002F48CD" w:rsidRDefault="002F48CD" w:rsidP="002F48CD">
            <w:pPr>
              <w:rPr>
                <w:rFonts w:ascii="Times New Roman" w:hAnsi="Times New Roman" w:cs="Times New Roman"/>
              </w:rPr>
            </w:pPr>
            <w:r w:rsidRPr="002F48CD">
              <w:rPr>
                <w:rFonts w:ascii="Times New Roman" w:hAnsi="Times New Roman" w:cs="Times New Roman"/>
              </w:rPr>
              <w:t>besi</w:t>
            </w:r>
            <w:r>
              <w:rPr>
                <w:rFonts w:ascii="Times New Roman" w:hAnsi="Times New Roman" w:cs="Times New Roman"/>
              </w:rPr>
              <w:t>keičiančius poreikius / esamą situaciją</w:t>
            </w:r>
            <w:r w:rsidRPr="002F48C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581" w:type="dxa"/>
          </w:tcPr>
          <w:p w14:paraId="0F28D7C8" w14:textId="77777777" w:rsidR="002F48CD" w:rsidRPr="002F48CD" w:rsidRDefault="002F48CD" w:rsidP="00B7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84469">
              <w:rPr>
                <w:rFonts w:ascii="Times New Roman" w:hAnsi="Times New Roman" w:cs="Times New Roman"/>
              </w:rPr>
              <w:t xml:space="preserve">suinteresuotosios šalys yra </w:t>
            </w:r>
            <w:r w:rsidRPr="002F48CD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inkamai</w:t>
            </w:r>
            <w:r w:rsidRPr="002F48CD">
              <w:rPr>
                <w:rFonts w:ascii="Times New Roman" w:hAnsi="Times New Roman" w:cs="Times New Roman"/>
              </w:rPr>
              <w:t xml:space="preserve"> nustatytos pagal </w:t>
            </w:r>
            <w:r w:rsidR="00CE32BD">
              <w:rPr>
                <w:rFonts w:ascii="Times New Roman" w:hAnsi="Times New Roman" w:cs="Times New Roman"/>
              </w:rPr>
              <w:t>teisinėje bazėje</w:t>
            </w:r>
            <w:r w:rsidRPr="002F48CD">
              <w:rPr>
                <w:rFonts w:ascii="Times New Roman" w:hAnsi="Times New Roman" w:cs="Times New Roman"/>
              </w:rPr>
              <w:t xml:space="preserve"> </w:t>
            </w:r>
            <w:r w:rsidR="00CE32BD">
              <w:rPr>
                <w:rFonts w:ascii="Times New Roman" w:hAnsi="Times New Roman" w:cs="Times New Roman"/>
              </w:rPr>
              <w:t>nurodytus</w:t>
            </w:r>
            <w:r w:rsidRPr="002F48CD">
              <w:rPr>
                <w:rFonts w:ascii="Times New Roman" w:hAnsi="Times New Roman" w:cs="Times New Roman"/>
              </w:rPr>
              <w:t xml:space="preserve"> tikslus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CEABE24" w14:textId="77777777" w:rsidR="002F48CD" w:rsidRPr="002F48CD" w:rsidRDefault="00FC1DEB" w:rsidP="00B7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poreikių analizė</w:t>
            </w:r>
            <w:r w:rsidR="002F48CD" w:rsidRPr="002F48CD">
              <w:rPr>
                <w:rFonts w:ascii="Times New Roman" w:hAnsi="Times New Roman" w:cs="Times New Roman"/>
              </w:rPr>
              <w:t>, kuri</w:t>
            </w:r>
            <w:r>
              <w:rPr>
                <w:rFonts w:ascii="Times New Roman" w:hAnsi="Times New Roman" w:cs="Times New Roman"/>
              </w:rPr>
              <w:t xml:space="preserve"> įtakojo programos parengimą ir joje nurodytą</w:t>
            </w:r>
            <w:r w:rsidR="002F48CD" w:rsidRPr="002F48CD">
              <w:rPr>
                <w:rFonts w:ascii="Times New Roman" w:hAnsi="Times New Roman" w:cs="Times New Roman"/>
              </w:rPr>
              <w:t xml:space="preserve"> išteklių paskirstym</w:t>
            </w:r>
            <w:r>
              <w:rPr>
                <w:rFonts w:ascii="Times New Roman" w:hAnsi="Times New Roman" w:cs="Times New Roman"/>
              </w:rPr>
              <w:t>ą</w:t>
            </w:r>
            <w:r w:rsidR="002F48CD" w:rsidRPr="002F48CD">
              <w:rPr>
                <w:rFonts w:ascii="Times New Roman" w:hAnsi="Times New Roman" w:cs="Times New Roman"/>
              </w:rPr>
              <w:t xml:space="preserve">, atitinka </w:t>
            </w:r>
            <w:r>
              <w:rPr>
                <w:rFonts w:ascii="Times New Roman" w:hAnsi="Times New Roman" w:cs="Times New Roman"/>
              </w:rPr>
              <w:t xml:space="preserve">esamą situaciją ir </w:t>
            </w:r>
            <w:r w:rsidR="002F48CD" w:rsidRPr="002F48CD">
              <w:rPr>
                <w:rFonts w:ascii="Times New Roman" w:hAnsi="Times New Roman" w:cs="Times New Roman"/>
              </w:rPr>
              <w:t>esamus suinteresuotųjų šalių poreikius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48D448B" w14:textId="77777777" w:rsidR="002F48CD" w:rsidRPr="002F48CD" w:rsidRDefault="00FC1DEB" w:rsidP="00B7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šiems</w:t>
            </w:r>
            <w:r w:rsidR="002F48CD" w:rsidRPr="002F48CD">
              <w:rPr>
                <w:rFonts w:ascii="Times New Roman" w:hAnsi="Times New Roman" w:cs="Times New Roman"/>
              </w:rPr>
              <w:t xml:space="preserve"> poreikiams tenkinti parengta </w:t>
            </w:r>
            <w:r>
              <w:rPr>
                <w:rFonts w:ascii="Times New Roman" w:hAnsi="Times New Roman" w:cs="Times New Roman"/>
              </w:rPr>
              <w:t xml:space="preserve">programos </w:t>
            </w:r>
            <w:r w:rsidR="002F48CD" w:rsidRPr="002F48CD">
              <w:rPr>
                <w:rFonts w:ascii="Times New Roman" w:hAnsi="Times New Roman" w:cs="Times New Roman"/>
              </w:rPr>
              <w:t>strategija, kuri</w:t>
            </w:r>
            <w:r>
              <w:rPr>
                <w:rFonts w:ascii="Times New Roman" w:hAnsi="Times New Roman" w:cs="Times New Roman"/>
              </w:rPr>
              <w:t>os siekiama</w:t>
            </w:r>
            <w:r w:rsidR="002F48CD" w:rsidRPr="002F48CD">
              <w:rPr>
                <w:rFonts w:ascii="Times New Roman" w:hAnsi="Times New Roman" w:cs="Times New Roman"/>
              </w:rPr>
              <w:t xml:space="preserve"> </w:t>
            </w:r>
            <w:r w:rsidR="00CE32BD">
              <w:rPr>
                <w:rFonts w:ascii="Times New Roman" w:hAnsi="Times New Roman" w:cs="Times New Roman"/>
              </w:rPr>
              <w:t>išskaidant</w:t>
            </w:r>
            <w:r w:rsidR="00CE32BD" w:rsidRPr="002F48CD">
              <w:rPr>
                <w:rFonts w:ascii="Times New Roman" w:hAnsi="Times New Roman" w:cs="Times New Roman"/>
              </w:rPr>
              <w:t xml:space="preserve"> konkrečiais etapais ir tikslais</w:t>
            </w:r>
            <w:r w:rsidR="00CE32BD">
              <w:rPr>
                <w:rFonts w:ascii="Times New Roman" w:hAnsi="Times New Roman" w:cs="Times New Roman"/>
              </w:rPr>
              <w:t>, naudojant</w:t>
            </w:r>
            <w:r w:rsidR="00CE32BD" w:rsidRPr="002F48CD">
              <w:rPr>
                <w:rFonts w:ascii="Times New Roman" w:hAnsi="Times New Roman" w:cs="Times New Roman"/>
              </w:rPr>
              <w:t xml:space="preserve"> </w:t>
            </w:r>
            <w:r w:rsidR="00CE32BD">
              <w:rPr>
                <w:rFonts w:ascii="Times New Roman" w:hAnsi="Times New Roman" w:cs="Times New Roman"/>
              </w:rPr>
              <w:t>proporcingus ištekliu</w:t>
            </w:r>
            <w:r w:rsidRPr="002F48C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A8B5DB0" w14:textId="77777777" w:rsidR="002F48CD" w:rsidRPr="002F48CD" w:rsidRDefault="002F48CD" w:rsidP="00B771E2">
            <w:pPr>
              <w:jc w:val="both"/>
              <w:rPr>
                <w:rFonts w:ascii="Times New Roman" w:hAnsi="Times New Roman" w:cs="Times New Roman"/>
              </w:rPr>
            </w:pPr>
            <w:r w:rsidRPr="002F48CD">
              <w:rPr>
                <w:rFonts w:ascii="Times New Roman" w:hAnsi="Times New Roman" w:cs="Times New Roman"/>
              </w:rPr>
              <w:t>- programoje numatytų įgyvendinimo priemonių sąrašas</w:t>
            </w:r>
            <w:r w:rsidR="00FC1DEB">
              <w:rPr>
                <w:rFonts w:ascii="Times New Roman" w:hAnsi="Times New Roman" w:cs="Times New Roman"/>
              </w:rPr>
              <w:t>, atitinkantis teisės aktų reikalavimus,</w:t>
            </w:r>
            <w:r w:rsidRPr="002F48CD">
              <w:rPr>
                <w:rFonts w:ascii="Times New Roman" w:hAnsi="Times New Roman" w:cs="Times New Roman"/>
              </w:rPr>
              <w:t xml:space="preserve"> yra tinkamas</w:t>
            </w:r>
            <w:r w:rsidR="00FC1DEB">
              <w:rPr>
                <w:rFonts w:ascii="Times New Roman" w:hAnsi="Times New Roman" w:cs="Times New Roman"/>
              </w:rPr>
              <w:t xml:space="preserve"> </w:t>
            </w:r>
            <w:r w:rsidRPr="002F48CD">
              <w:rPr>
                <w:rFonts w:ascii="Times New Roman" w:hAnsi="Times New Roman" w:cs="Times New Roman"/>
              </w:rPr>
              <w:t>patenkinti esamus ir būsimus tikslinių grupių</w:t>
            </w:r>
            <w:r w:rsidR="00CE32BD">
              <w:rPr>
                <w:rFonts w:ascii="Times New Roman" w:hAnsi="Times New Roman" w:cs="Times New Roman"/>
              </w:rPr>
              <w:t xml:space="preserve"> / suinteresuotųjų šalių</w:t>
            </w:r>
            <w:r w:rsidRPr="002F48CD">
              <w:rPr>
                <w:rFonts w:ascii="Times New Roman" w:hAnsi="Times New Roman" w:cs="Times New Roman"/>
              </w:rPr>
              <w:t xml:space="preserve"> poreikius</w:t>
            </w:r>
            <w:r w:rsidR="00FC1DEB">
              <w:rPr>
                <w:rFonts w:ascii="Times New Roman" w:hAnsi="Times New Roman" w:cs="Times New Roman"/>
              </w:rPr>
              <w:t>;</w:t>
            </w:r>
          </w:p>
          <w:p w14:paraId="4F9616EE" w14:textId="77777777" w:rsidR="002F48CD" w:rsidRPr="002F48CD" w:rsidRDefault="002F48CD" w:rsidP="00B771E2">
            <w:pPr>
              <w:jc w:val="both"/>
              <w:rPr>
                <w:rFonts w:ascii="Times New Roman" w:hAnsi="Times New Roman" w:cs="Times New Roman"/>
              </w:rPr>
            </w:pPr>
            <w:r w:rsidRPr="002F48CD">
              <w:rPr>
                <w:rFonts w:ascii="Times New Roman" w:hAnsi="Times New Roman" w:cs="Times New Roman"/>
              </w:rPr>
              <w:t>-…</w:t>
            </w:r>
          </w:p>
        </w:tc>
      </w:tr>
      <w:tr w:rsidR="002F48CD" w:rsidRPr="002F48CD" w14:paraId="211904E4" w14:textId="77777777" w:rsidTr="00B771E2">
        <w:tc>
          <w:tcPr>
            <w:tcW w:w="1646" w:type="dxa"/>
            <w:vMerge/>
            <w:shd w:val="clear" w:color="auto" w:fill="F2F2F2" w:themeFill="background1" w:themeFillShade="F2"/>
          </w:tcPr>
          <w:p w14:paraId="681FEAB5" w14:textId="77777777" w:rsidR="002F48CD" w:rsidRPr="002F48CD" w:rsidRDefault="002F48CD" w:rsidP="0086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14:paraId="2B7C0808" w14:textId="77777777" w:rsidR="002F48CD" w:rsidRPr="002F48CD" w:rsidRDefault="00FC1DEB" w:rsidP="00FC1DEB">
            <w:pPr>
              <w:rPr>
                <w:rFonts w:ascii="Times New Roman" w:hAnsi="Times New Roman" w:cs="Times New Roman"/>
              </w:rPr>
            </w:pPr>
            <w:r w:rsidRPr="00FC1DEB">
              <w:rPr>
                <w:rFonts w:ascii="Times New Roman" w:hAnsi="Times New Roman" w:cs="Times New Roman"/>
              </w:rPr>
              <w:t xml:space="preserve">Kiek programa </w:t>
            </w:r>
            <w:r>
              <w:rPr>
                <w:rFonts w:ascii="Times New Roman" w:hAnsi="Times New Roman" w:cs="Times New Roman"/>
              </w:rPr>
              <w:t xml:space="preserve">gali prisitaikyti prie </w:t>
            </w:r>
            <w:r w:rsidRPr="00FC1DEB">
              <w:rPr>
                <w:rFonts w:ascii="Times New Roman" w:hAnsi="Times New Roman" w:cs="Times New Roman"/>
              </w:rPr>
              <w:t>besi</w:t>
            </w:r>
            <w:r>
              <w:rPr>
                <w:rFonts w:ascii="Times New Roman" w:hAnsi="Times New Roman" w:cs="Times New Roman"/>
              </w:rPr>
              <w:t>keičiančių poreikių</w:t>
            </w:r>
            <w:r w:rsidRPr="00FC1DEB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esamos</w:t>
            </w:r>
            <w:r w:rsidRPr="00FC1D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situacijos</w:t>
            </w:r>
            <w:r w:rsidRPr="00FC1DE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581" w:type="dxa"/>
          </w:tcPr>
          <w:p w14:paraId="504CF26C" w14:textId="77777777" w:rsidR="002F48CD" w:rsidRPr="002F48CD" w:rsidRDefault="002956B5" w:rsidP="00B771E2">
            <w:pPr>
              <w:jc w:val="both"/>
              <w:rPr>
                <w:rFonts w:ascii="Times New Roman" w:hAnsi="Times New Roman" w:cs="Times New Roman"/>
              </w:rPr>
            </w:pPr>
            <w:r w:rsidRPr="002956B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2F48CD" w:rsidRPr="002956B5">
              <w:rPr>
                <w:rFonts w:ascii="Times New Roman" w:hAnsi="Times New Roman" w:cs="Times New Roman"/>
              </w:rPr>
              <w:t xml:space="preserve">oreikių vertinimas atliekamas ir atnaujinamas reguliariai arba kai </w:t>
            </w:r>
            <w:r>
              <w:rPr>
                <w:rFonts w:ascii="Times New Roman" w:hAnsi="Times New Roman" w:cs="Times New Roman"/>
              </w:rPr>
              <w:t>atsiranda</w:t>
            </w:r>
            <w:r w:rsidR="002F48CD" w:rsidRPr="002956B5">
              <w:rPr>
                <w:rFonts w:ascii="Times New Roman" w:hAnsi="Times New Roman" w:cs="Times New Roman"/>
              </w:rPr>
              <w:t xml:space="preserve"> atitinkam</w:t>
            </w:r>
            <w:r>
              <w:rPr>
                <w:rFonts w:ascii="Times New Roman" w:hAnsi="Times New Roman" w:cs="Times New Roman"/>
              </w:rPr>
              <w:t>i</w:t>
            </w:r>
            <w:r w:rsidR="002F48CD" w:rsidRPr="002956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poreikiai / </w:t>
            </w:r>
            <w:r w:rsidR="002F48CD" w:rsidRPr="002F48CD">
              <w:rPr>
                <w:rFonts w:ascii="Times New Roman" w:hAnsi="Times New Roman" w:cs="Times New Roman"/>
              </w:rPr>
              <w:t>pokyči</w:t>
            </w:r>
            <w:r>
              <w:rPr>
                <w:rFonts w:ascii="Times New Roman" w:hAnsi="Times New Roman" w:cs="Times New Roman"/>
              </w:rPr>
              <w:t>ai esamoje situacijoje;</w:t>
            </w:r>
          </w:p>
          <w:p w14:paraId="32FCF912" w14:textId="77777777" w:rsidR="002F48CD" w:rsidRPr="002F48CD" w:rsidRDefault="002956B5" w:rsidP="00B7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partneriai / S</w:t>
            </w:r>
            <w:r w:rsidR="002F48CD" w:rsidRPr="002F48CD">
              <w:rPr>
                <w:rFonts w:ascii="Times New Roman" w:hAnsi="Times New Roman" w:cs="Times New Roman"/>
              </w:rPr>
              <w:t>tebėsenos komitetas gali laiku pateikti informaciją apie besikeičiančius poreikius ir aktualius</w:t>
            </w:r>
            <w:r>
              <w:rPr>
                <w:rFonts w:ascii="Times New Roman" w:hAnsi="Times New Roman" w:cs="Times New Roman"/>
              </w:rPr>
              <w:t xml:space="preserve"> įvykius;</w:t>
            </w:r>
          </w:p>
          <w:p w14:paraId="2DEBE73B" w14:textId="77777777" w:rsidR="002F48CD" w:rsidRPr="002F48CD" w:rsidRDefault="002956B5" w:rsidP="00B7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="002F48CD" w:rsidRPr="002F48CD">
              <w:rPr>
                <w:rFonts w:ascii="Times New Roman" w:hAnsi="Times New Roman" w:cs="Times New Roman"/>
              </w:rPr>
              <w:t xml:space="preserve">lanuojant </w:t>
            </w:r>
            <w:r>
              <w:rPr>
                <w:rFonts w:ascii="Times New Roman" w:hAnsi="Times New Roman" w:cs="Times New Roman"/>
              </w:rPr>
              <w:t>programos veiksmus / projektus</w:t>
            </w:r>
            <w:r w:rsidR="002F48CD" w:rsidRPr="002F48CD">
              <w:rPr>
                <w:rFonts w:ascii="Times New Roman" w:hAnsi="Times New Roman" w:cs="Times New Roman"/>
              </w:rPr>
              <w:t xml:space="preserve"> yra pakankamai lankstumo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E12850B" w14:textId="77777777" w:rsidR="002F48CD" w:rsidRPr="002F48CD" w:rsidRDefault="002956B5" w:rsidP="00B7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prireikus</w:t>
            </w:r>
            <w:r w:rsidR="002F48CD" w:rsidRPr="002F48CD">
              <w:rPr>
                <w:rFonts w:ascii="Times New Roman" w:hAnsi="Times New Roman" w:cs="Times New Roman"/>
              </w:rPr>
              <w:t xml:space="preserve"> neesminiai programos pakeitimai gali būti greitai </w:t>
            </w:r>
            <w:r>
              <w:rPr>
                <w:rFonts w:ascii="Times New Roman" w:hAnsi="Times New Roman" w:cs="Times New Roman"/>
              </w:rPr>
              <w:t>atlikti;</w:t>
            </w:r>
          </w:p>
          <w:p w14:paraId="3786E332" w14:textId="77777777" w:rsidR="002F48CD" w:rsidRPr="002F48CD" w:rsidRDefault="002956B5" w:rsidP="00B7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</w:t>
            </w:r>
            <w:r w:rsidR="002F48CD" w:rsidRPr="002F48CD">
              <w:rPr>
                <w:rFonts w:ascii="Times New Roman" w:hAnsi="Times New Roman" w:cs="Times New Roman"/>
              </w:rPr>
              <w:t>ra nustatytos taisyklės ir procedūros, užtikrinančios</w:t>
            </w:r>
            <w:r>
              <w:rPr>
                <w:rFonts w:ascii="Times New Roman" w:hAnsi="Times New Roman" w:cs="Times New Roman"/>
              </w:rPr>
              <w:t>, kad</w:t>
            </w:r>
            <w:r w:rsidR="002F48CD" w:rsidRPr="002F48CD">
              <w:rPr>
                <w:rFonts w:ascii="Times New Roman" w:hAnsi="Times New Roman" w:cs="Times New Roman"/>
              </w:rPr>
              <w:t xml:space="preserve"> esmini</w:t>
            </w:r>
            <w:r>
              <w:rPr>
                <w:rFonts w:ascii="Times New Roman" w:hAnsi="Times New Roman" w:cs="Times New Roman"/>
              </w:rPr>
              <w:t>ai</w:t>
            </w:r>
            <w:r w:rsidR="002F48CD" w:rsidRPr="002F48CD">
              <w:rPr>
                <w:rFonts w:ascii="Times New Roman" w:hAnsi="Times New Roman" w:cs="Times New Roman"/>
              </w:rPr>
              <w:t xml:space="preserve"> programos pakeitim</w:t>
            </w:r>
            <w:r>
              <w:rPr>
                <w:rFonts w:ascii="Times New Roman" w:hAnsi="Times New Roman" w:cs="Times New Roman"/>
              </w:rPr>
              <w:t>ai bus atlikti</w:t>
            </w:r>
          </w:p>
          <w:p w14:paraId="4CC6B3BB" w14:textId="77777777" w:rsidR="002F48CD" w:rsidRPr="002F48CD" w:rsidRDefault="002F48CD" w:rsidP="00B771E2">
            <w:pPr>
              <w:jc w:val="both"/>
              <w:rPr>
                <w:rFonts w:ascii="Times New Roman" w:hAnsi="Times New Roman" w:cs="Times New Roman"/>
              </w:rPr>
            </w:pPr>
            <w:r w:rsidRPr="002F48CD">
              <w:rPr>
                <w:rFonts w:ascii="Times New Roman" w:hAnsi="Times New Roman" w:cs="Times New Roman"/>
              </w:rPr>
              <w:t>laiku, jei atsiranda naujų poreikių</w:t>
            </w:r>
            <w:r w:rsidR="002956B5">
              <w:rPr>
                <w:rFonts w:ascii="Times New Roman" w:hAnsi="Times New Roman" w:cs="Times New Roman"/>
              </w:rPr>
              <w:t>;</w:t>
            </w:r>
          </w:p>
          <w:p w14:paraId="7DE9DA1B" w14:textId="77777777" w:rsidR="002F48CD" w:rsidRPr="002F48CD" w:rsidRDefault="002956B5" w:rsidP="00B7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j</w:t>
            </w:r>
            <w:r w:rsidR="002F48CD" w:rsidRPr="002F48CD">
              <w:rPr>
                <w:rFonts w:ascii="Times New Roman" w:hAnsi="Times New Roman" w:cs="Times New Roman"/>
              </w:rPr>
              <w:t xml:space="preserve">eigu po programos </w:t>
            </w:r>
            <w:r>
              <w:rPr>
                <w:rFonts w:ascii="Times New Roman" w:hAnsi="Times New Roman" w:cs="Times New Roman"/>
              </w:rPr>
              <w:t>patvirtinimo</w:t>
            </w:r>
            <w:r w:rsidR="002F48CD" w:rsidRPr="002F48CD">
              <w:rPr>
                <w:rFonts w:ascii="Times New Roman" w:hAnsi="Times New Roman" w:cs="Times New Roman"/>
              </w:rPr>
              <w:t xml:space="preserve"> pasikei</w:t>
            </w:r>
            <w:r>
              <w:rPr>
                <w:rFonts w:ascii="Times New Roman" w:hAnsi="Times New Roman" w:cs="Times New Roman"/>
              </w:rPr>
              <w:t>čia</w:t>
            </w:r>
            <w:r w:rsidR="002F48CD" w:rsidRPr="002F48CD">
              <w:rPr>
                <w:rFonts w:ascii="Times New Roman" w:hAnsi="Times New Roman" w:cs="Times New Roman"/>
              </w:rPr>
              <w:t xml:space="preserve"> poreikiai, programos strategija ar </w:t>
            </w:r>
            <w:r>
              <w:rPr>
                <w:rFonts w:ascii="Times New Roman" w:hAnsi="Times New Roman" w:cs="Times New Roman"/>
              </w:rPr>
              <w:t>veiksmas / projektas gali būti</w:t>
            </w:r>
            <w:r w:rsidR="002F48CD" w:rsidRPr="002F48CD">
              <w:rPr>
                <w:rFonts w:ascii="Times New Roman" w:hAnsi="Times New Roman" w:cs="Times New Roman"/>
              </w:rPr>
              <w:t xml:space="preserve"> laiku pritaikyti arba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48CD" w:rsidRPr="002F48CD">
              <w:rPr>
                <w:rFonts w:ascii="Times New Roman" w:hAnsi="Times New Roman" w:cs="Times New Roman"/>
              </w:rPr>
              <w:t xml:space="preserve">nauji poreikiai </w:t>
            </w:r>
            <w:r>
              <w:rPr>
                <w:rFonts w:ascii="Times New Roman" w:hAnsi="Times New Roman" w:cs="Times New Roman"/>
              </w:rPr>
              <w:t>įtraukti per teminę priemonę;</w:t>
            </w:r>
          </w:p>
          <w:p w14:paraId="0F614176" w14:textId="77777777" w:rsidR="002F48CD" w:rsidRPr="002F48CD" w:rsidRDefault="002F48CD" w:rsidP="00B771E2">
            <w:pPr>
              <w:jc w:val="both"/>
              <w:rPr>
                <w:rFonts w:ascii="Times New Roman" w:hAnsi="Times New Roman" w:cs="Times New Roman"/>
              </w:rPr>
            </w:pPr>
            <w:r w:rsidRPr="002F48CD">
              <w:rPr>
                <w:rFonts w:ascii="Times New Roman" w:hAnsi="Times New Roman" w:cs="Times New Roman"/>
              </w:rPr>
              <w:t>-…</w:t>
            </w:r>
          </w:p>
        </w:tc>
      </w:tr>
      <w:tr w:rsidR="00781FC0" w:rsidRPr="002F48CD" w14:paraId="035C4864" w14:textId="77777777" w:rsidTr="00B771E2">
        <w:tc>
          <w:tcPr>
            <w:tcW w:w="1646" w:type="dxa"/>
            <w:vMerge w:val="restart"/>
            <w:shd w:val="clear" w:color="auto" w:fill="F2F2F2" w:themeFill="background1" w:themeFillShade="F2"/>
          </w:tcPr>
          <w:p w14:paraId="4B591815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  <w:r w:rsidRPr="002F48CD">
              <w:rPr>
                <w:rFonts w:ascii="Times New Roman" w:hAnsi="Times New Roman" w:cs="Times New Roman"/>
              </w:rPr>
              <w:t>Veiksmingumas (</w:t>
            </w:r>
            <w:proofErr w:type="spellStart"/>
            <w:r w:rsidRPr="002956B5">
              <w:rPr>
                <w:rFonts w:ascii="Times New Roman" w:hAnsi="Times New Roman" w:cs="Times New Roman"/>
                <w:i/>
              </w:rPr>
              <w:t>efficiency</w:t>
            </w:r>
            <w:proofErr w:type="spellEnd"/>
            <w:r w:rsidRPr="002F48CD">
              <w:rPr>
                <w:rFonts w:ascii="Times New Roman" w:hAnsi="Times New Roman" w:cs="Times New Roman"/>
              </w:rPr>
              <w:t>);</w:t>
            </w:r>
          </w:p>
          <w:p w14:paraId="2A31A8B6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0E1C026C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7F02B444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684F138F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05DD782A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678C187A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37A682BF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3FB59F87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194ACBC1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31A51F4F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20FE2417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3DDC618E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2A5C40CD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0ABAED1D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3B9AF50B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13BF8FF6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78E18C1C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5C900958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105EF713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002ED200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31EAA7B9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05686C92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03D42475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6C4DF649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2215638B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5C20730C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362C4F84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7C22F745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7B1C894B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7E5E5DE5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48C472FC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38F4C9F9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54F0B61E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37A90264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0AFE9761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3F183BDE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475115EB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21B4D064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35A46909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5D4DCB0C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43235A02" w14:textId="77777777" w:rsidR="00781FC0" w:rsidRDefault="00781FC0" w:rsidP="008641E2">
            <w:pPr>
              <w:rPr>
                <w:rFonts w:ascii="Times New Roman" w:hAnsi="Times New Roman" w:cs="Times New Roman"/>
              </w:rPr>
            </w:pPr>
          </w:p>
          <w:p w14:paraId="57DD5B12" w14:textId="0C736CD8" w:rsidR="00781FC0" w:rsidRPr="002F48CD" w:rsidRDefault="00781FC0" w:rsidP="0086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14:paraId="61FB9CE0" w14:textId="77777777" w:rsidR="00781FC0" w:rsidRPr="002F48CD" w:rsidRDefault="00781FC0" w:rsidP="0086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Kokia programos įgyvendinimo pažanga siekiant joje nustatytų tikslų?</w:t>
            </w:r>
          </w:p>
        </w:tc>
        <w:tc>
          <w:tcPr>
            <w:tcW w:w="9581" w:type="dxa"/>
          </w:tcPr>
          <w:p w14:paraId="0CBE2754" w14:textId="77777777" w:rsidR="00781FC0" w:rsidRPr="002956B5" w:rsidRDefault="00781FC0" w:rsidP="002956B5">
            <w:pPr>
              <w:rPr>
                <w:rFonts w:ascii="Times New Roman" w:hAnsi="Times New Roman" w:cs="Times New Roman"/>
              </w:rPr>
            </w:pPr>
            <w:r w:rsidRPr="002956B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pradėti</w:t>
            </w:r>
            <w:r w:rsidRPr="002956B5">
              <w:rPr>
                <w:rFonts w:ascii="Times New Roman" w:hAnsi="Times New Roman" w:cs="Times New Roman"/>
              </w:rPr>
              <w:t xml:space="preserve"> įgyvendinti </w:t>
            </w:r>
            <w:r>
              <w:rPr>
                <w:rFonts w:ascii="Times New Roman" w:hAnsi="Times New Roman" w:cs="Times New Roman"/>
              </w:rPr>
              <w:t>programoje numatyti</w:t>
            </w:r>
            <w:r w:rsidRPr="002956B5">
              <w:rPr>
                <w:rFonts w:ascii="Times New Roman" w:hAnsi="Times New Roman" w:cs="Times New Roman"/>
              </w:rPr>
              <w:t xml:space="preserve"> veiksmai pagal visus atitinkamus konkrečius </w:t>
            </w:r>
            <w:r>
              <w:rPr>
                <w:rFonts w:ascii="Times New Roman" w:hAnsi="Times New Roman" w:cs="Times New Roman"/>
              </w:rPr>
              <w:t xml:space="preserve">tikslus ir </w:t>
            </w:r>
          </w:p>
          <w:p w14:paraId="75F76ED8" w14:textId="77777777" w:rsidR="00781FC0" w:rsidRPr="002956B5" w:rsidRDefault="00781FC0" w:rsidP="002956B5">
            <w:pPr>
              <w:rPr>
                <w:rFonts w:ascii="Times New Roman" w:hAnsi="Times New Roman" w:cs="Times New Roman"/>
              </w:rPr>
            </w:pPr>
            <w:r w:rsidRPr="00954D51">
              <w:rPr>
                <w:rFonts w:ascii="Times New Roman" w:hAnsi="Times New Roman" w:cs="Times New Roman"/>
              </w:rPr>
              <w:t>intervencinių priemonių rūšį</w:t>
            </w:r>
            <w:r w:rsidRPr="002956B5">
              <w:rPr>
                <w:rFonts w:ascii="Times New Roman" w:hAnsi="Times New Roman" w:cs="Times New Roman"/>
              </w:rPr>
              <w:t xml:space="preserve">, išskyrus atvejus, kai planuojant </w:t>
            </w:r>
            <w:r>
              <w:rPr>
                <w:rFonts w:ascii="Times New Roman" w:hAnsi="Times New Roman" w:cs="Times New Roman"/>
              </w:rPr>
              <w:t xml:space="preserve">veiksmų įgyvendinimo </w:t>
            </w:r>
            <w:r w:rsidRPr="002956B5">
              <w:rPr>
                <w:rFonts w:ascii="Times New Roman" w:hAnsi="Times New Roman" w:cs="Times New Roman"/>
              </w:rPr>
              <w:t xml:space="preserve">pradžia buvo numatyta </w:t>
            </w:r>
            <w:r>
              <w:rPr>
                <w:rFonts w:ascii="Times New Roman" w:hAnsi="Times New Roman" w:cs="Times New Roman"/>
              </w:rPr>
              <w:t>vėlesniu metu;</w:t>
            </w:r>
            <w:r w:rsidRPr="002956B5">
              <w:rPr>
                <w:rFonts w:ascii="Times New Roman" w:hAnsi="Times New Roman" w:cs="Times New Roman"/>
              </w:rPr>
              <w:t xml:space="preserve"> </w:t>
            </w:r>
          </w:p>
          <w:p w14:paraId="3064508D" w14:textId="77777777" w:rsidR="00781FC0" w:rsidRPr="002956B5" w:rsidRDefault="00781FC0" w:rsidP="002956B5">
            <w:pPr>
              <w:rPr>
                <w:rFonts w:ascii="Times New Roman" w:hAnsi="Times New Roman" w:cs="Times New Roman"/>
              </w:rPr>
            </w:pPr>
            <w:r w:rsidRPr="002956B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2956B5">
              <w:rPr>
                <w:rFonts w:ascii="Times New Roman" w:hAnsi="Times New Roman" w:cs="Times New Roman"/>
              </w:rPr>
              <w:t xml:space="preserve">nkstyva pažanga siekiant </w:t>
            </w:r>
            <w:r>
              <w:rPr>
                <w:rFonts w:ascii="Times New Roman" w:hAnsi="Times New Roman" w:cs="Times New Roman"/>
              </w:rPr>
              <w:t>tarpinių</w:t>
            </w:r>
            <w:r w:rsidRPr="002956B5">
              <w:rPr>
                <w:rFonts w:ascii="Times New Roman" w:hAnsi="Times New Roman" w:cs="Times New Roman"/>
              </w:rPr>
              <w:t xml:space="preserve"> ir </w:t>
            </w:r>
            <w:r>
              <w:rPr>
                <w:rFonts w:ascii="Times New Roman" w:hAnsi="Times New Roman" w:cs="Times New Roman"/>
              </w:rPr>
              <w:t>siektinų reikšmių</w:t>
            </w:r>
            <w:r w:rsidRPr="002956B5">
              <w:rPr>
                <w:rFonts w:ascii="Times New Roman" w:hAnsi="Times New Roman" w:cs="Times New Roman"/>
              </w:rPr>
              <w:t xml:space="preserve">, atsižvelgiant į programos </w:t>
            </w:r>
            <w:r>
              <w:rPr>
                <w:rFonts w:ascii="Times New Roman" w:hAnsi="Times New Roman" w:cs="Times New Roman"/>
              </w:rPr>
              <w:t>patvirtinimo momentą,</w:t>
            </w:r>
            <w:r w:rsidRPr="002956B5">
              <w:rPr>
                <w:rFonts w:ascii="Times New Roman" w:hAnsi="Times New Roman" w:cs="Times New Roman"/>
              </w:rPr>
              <w:t xml:space="preserve"> atitinka lūkesčius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3730346" w14:textId="77777777" w:rsidR="00781FC0" w:rsidRPr="002956B5" w:rsidRDefault="00781FC0" w:rsidP="00295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</w:t>
            </w:r>
            <w:r w:rsidRPr="002956B5">
              <w:rPr>
                <w:rFonts w:ascii="Times New Roman" w:hAnsi="Times New Roman" w:cs="Times New Roman"/>
              </w:rPr>
              <w:t>ššūkiai, turintys įtakos programos tikslų įgyvendinimui ir pažangai, yra tinkamai nusta</w:t>
            </w:r>
            <w:r>
              <w:rPr>
                <w:rFonts w:ascii="Times New Roman" w:hAnsi="Times New Roman" w:cs="Times New Roman"/>
              </w:rPr>
              <w:t>tyti ir susieti su veiksmingais</w:t>
            </w:r>
            <w:r w:rsidRPr="002956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jų įveikimo</w:t>
            </w:r>
            <w:r w:rsidRPr="002956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planais;</w:t>
            </w:r>
          </w:p>
          <w:p w14:paraId="3E5143EF" w14:textId="77777777" w:rsidR="00781FC0" w:rsidRPr="002956B5" w:rsidRDefault="00781FC0" w:rsidP="00295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2956B5">
              <w:rPr>
                <w:rFonts w:ascii="Times New Roman" w:hAnsi="Times New Roman" w:cs="Times New Roman"/>
              </w:rPr>
              <w:t xml:space="preserve">rograma remia </w:t>
            </w:r>
            <w:r>
              <w:rPr>
                <w:rFonts w:ascii="Times New Roman" w:hAnsi="Times New Roman" w:cs="Times New Roman"/>
              </w:rPr>
              <w:t>intervencinių priemonių rūšis</w:t>
            </w:r>
            <w:r w:rsidRPr="00954D51">
              <w:rPr>
                <w:rFonts w:ascii="Times New Roman" w:hAnsi="Times New Roman" w:cs="Times New Roman"/>
              </w:rPr>
              <w:t xml:space="preserve"> </w:t>
            </w:r>
            <w:r w:rsidRPr="002956B5">
              <w:rPr>
                <w:rFonts w:ascii="Times New Roman" w:hAnsi="Times New Roman" w:cs="Times New Roman"/>
              </w:rPr>
              <w:t xml:space="preserve">ir veiksmų tipus, kurie, remiantis turimais </w:t>
            </w:r>
            <w:proofErr w:type="spellStart"/>
            <w:r w:rsidRPr="002956B5">
              <w:rPr>
                <w:rFonts w:ascii="Times New Roman" w:hAnsi="Times New Roman" w:cs="Times New Roman"/>
              </w:rPr>
              <w:t>įrodymais</w:t>
            </w:r>
            <w:proofErr w:type="spellEnd"/>
            <w:r w:rsidRPr="002956B5">
              <w:rPr>
                <w:rFonts w:ascii="Times New Roman" w:hAnsi="Times New Roman" w:cs="Times New Roman"/>
              </w:rPr>
              <w:t xml:space="preserve">, yra žinomi kaip veiksmingi (įskaitant, pvz., atitinkamą </w:t>
            </w:r>
            <w:r>
              <w:rPr>
                <w:rFonts w:ascii="Times New Roman" w:hAnsi="Times New Roman" w:cs="Times New Roman"/>
              </w:rPr>
              <w:t>akademinę literatūrą, ankstesnių programų</w:t>
            </w:r>
            <w:r w:rsidRPr="00295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D51">
              <w:rPr>
                <w:rFonts w:ascii="Times New Roman" w:hAnsi="Times New Roman" w:cs="Times New Roman"/>
                <w:i/>
              </w:rPr>
              <w:t>ex-post</w:t>
            </w:r>
            <w:proofErr w:type="spellEnd"/>
            <w:r w:rsidRPr="002956B5">
              <w:rPr>
                <w:rFonts w:ascii="Times New Roman" w:hAnsi="Times New Roman" w:cs="Times New Roman"/>
              </w:rPr>
              <w:t xml:space="preserve"> vertinimą</w:t>
            </w:r>
            <w:r>
              <w:rPr>
                <w:rFonts w:ascii="Times New Roman" w:hAnsi="Times New Roman" w:cs="Times New Roman"/>
              </w:rPr>
              <w:t xml:space="preserve"> ir pan.);</w:t>
            </w:r>
          </w:p>
          <w:p w14:paraId="4EA807CF" w14:textId="3C79E6B2" w:rsidR="00781FC0" w:rsidRPr="002956B5" w:rsidRDefault="00781FC0" w:rsidP="00295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</w:t>
            </w:r>
            <w:r w:rsidRPr="002956B5">
              <w:rPr>
                <w:rFonts w:ascii="Times New Roman" w:hAnsi="Times New Roman" w:cs="Times New Roman"/>
              </w:rPr>
              <w:t xml:space="preserve">ai </w:t>
            </w:r>
            <w:r>
              <w:rPr>
                <w:rFonts w:ascii="Times New Roman" w:hAnsi="Times New Roman" w:cs="Times New Roman"/>
              </w:rPr>
              <w:t>taikoma</w:t>
            </w:r>
            <w:r w:rsidRPr="002956B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įgyvendinant</w:t>
            </w:r>
            <w:r w:rsidRPr="002956B5">
              <w:rPr>
                <w:rFonts w:ascii="Times New Roman" w:hAnsi="Times New Roman" w:cs="Times New Roman"/>
              </w:rPr>
              <w:t xml:space="preserve"> program</w:t>
            </w:r>
            <w:r>
              <w:rPr>
                <w:rFonts w:ascii="Times New Roman" w:hAnsi="Times New Roman" w:cs="Times New Roman"/>
              </w:rPr>
              <w:t xml:space="preserve">ą </w:t>
            </w:r>
            <w:r w:rsidRPr="002956B5">
              <w:rPr>
                <w:rFonts w:ascii="Times New Roman" w:hAnsi="Times New Roman" w:cs="Times New Roman"/>
              </w:rPr>
              <w:t>naudoja</w:t>
            </w:r>
            <w:r>
              <w:rPr>
                <w:rFonts w:ascii="Times New Roman" w:hAnsi="Times New Roman" w:cs="Times New Roman"/>
              </w:rPr>
              <w:t>masi</w:t>
            </w:r>
            <w:r w:rsidRPr="002956B5">
              <w:rPr>
                <w:rFonts w:ascii="Times New Roman" w:hAnsi="Times New Roman" w:cs="Times New Roman"/>
              </w:rPr>
              <w:t xml:space="preserve"> turim</w:t>
            </w:r>
            <w:r>
              <w:rPr>
                <w:rFonts w:ascii="Times New Roman" w:hAnsi="Times New Roman" w:cs="Times New Roman"/>
              </w:rPr>
              <w:t>a</w:t>
            </w:r>
            <w:r w:rsidRPr="002956B5">
              <w:rPr>
                <w:rFonts w:ascii="Times New Roman" w:hAnsi="Times New Roman" w:cs="Times New Roman"/>
              </w:rPr>
              <w:t xml:space="preserve"> gerą</w:t>
            </w:r>
            <w:r>
              <w:rPr>
                <w:rFonts w:ascii="Times New Roman" w:hAnsi="Times New Roman" w:cs="Times New Roman"/>
              </w:rPr>
              <w:t>ja</w:t>
            </w:r>
            <w:r w:rsidRPr="002956B5">
              <w:rPr>
                <w:rFonts w:ascii="Times New Roman" w:hAnsi="Times New Roman" w:cs="Times New Roman"/>
              </w:rPr>
              <w:t xml:space="preserve"> praktik</w:t>
            </w:r>
            <w:r>
              <w:rPr>
                <w:rFonts w:ascii="Times New Roman" w:hAnsi="Times New Roman" w:cs="Times New Roman"/>
              </w:rPr>
              <w:t>a;</w:t>
            </w:r>
          </w:p>
          <w:p w14:paraId="1F405DD4" w14:textId="77777777" w:rsidR="00781FC0" w:rsidRPr="002F48CD" w:rsidRDefault="00781FC0" w:rsidP="002956B5">
            <w:pPr>
              <w:rPr>
                <w:rFonts w:ascii="Times New Roman" w:hAnsi="Times New Roman" w:cs="Times New Roman"/>
              </w:rPr>
            </w:pPr>
            <w:r w:rsidRPr="002956B5">
              <w:rPr>
                <w:rFonts w:ascii="Times New Roman" w:hAnsi="Times New Roman" w:cs="Times New Roman"/>
              </w:rPr>
              <w:t>-….</w:t>
            </w:r>
          </w:p>
        </w:tc>
      </w:tr>
      <w:tr w:rsidR="00781FC0" w:rsidRPr="002F48CD" w14:paraId="7A332729" w14:textId="77777777" w:rsidTr="00B771E2">
        <w:tc>
          <w:tcPr>
            <w:tcW w:w="1646" w:type="dxa"/>
            <w:vMerge/>
            <w:shd w:val="clear" w:color="auto" w:fill="F2F2F2" w:themeFill="background1" w:themeFillShade="F2"/>
          </w:tcPr>
          <w:p w14:paraId="0651C48D" w14:textId="77777777" w:rsidR="00781FC0" w:rsidRPr="002F48CD" w:rsidRDefault="00781FC0" w:rsidP="0086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14:paraId="09EE0CC0" w14:textId="77777777" w:rsidR="00781FC0" w:rsidRPr="00802EDE" w:rsidRDefault="00781FC0" w:rsidP="00802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Kiek</w:t>
            </w:r>
            <w:r w:rsidRPr="00802E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stebėjimo</w:t>
            </w:r>
            <w:r w:rsidRPr="00802EDE">
              <w:rPr>
                <w:rFonts w:ascii="Times New Roman" w:hAnsi="Times New Roman" w:cs="Times New Roman"/>
              </w:rPr>
              <w:t xml:space="preserve"> ir</w:t>
            </w:r>
          </w:p>
          <w:p w14:paraId="0C6BC5B8" w14:textId="77777777" w:rsidR="00781FC0" w:rsidRPr="002F48CD" w:rsidRDefault="00781FC0" w:rsidP="00802EDE">
            <w:pPr>
              <w:rPr>
                <w:rFonts w:ascii="Times New Roman" w:hAnsi="Times New Roman" w:cs="Times New Roman"/>
              </w:rPr>
            </w:pPr>
            <w:r w:rsidRPr="00802EDE">
              <w:rPr>
                <w:rFonts w:ascii="Times New Roman" w:hAnsi="Times New Roman" w:cs="Times New Roman"/>
              </w:rPr>
              <w:t>vertinimo sistema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2EDE">
              <w:rPr>
                <w:rFonts w:ascii="Times New Roman" w:hAnsi="Times New Roman" w:cs="Times New Roman"/>
              </w:rPr>
              <w:t>yra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2EDE">
              <w:rPr>
                <w:rFonts w:ascii="Times New Roman" w:hAnsi="Times New Roman" w:cs="Times New Roman"/>
              </w:rPr>
              <w:t>tinka</w:t>
            </w:r>
            <w:r>
              <w:rPr>
                <w:rFonts w:ascii="Times New Roman" w:hAnsi="Times New Roman" w:cs="Times New Roman"/>
              </w:rPr>
              <w:t>ma</w:t>
            </w:r>
            <w:r w:rsidRPr="00802E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Pr="00802EDE">
              <w:rPr>
                <w:rFonts w:ascii="Times New Roman" w:hAnsi="Times New Roman" w:cs="Times New Roman"/>
              </w:rPr>
              <w:t>nformuoti apie</w:t>
            </w:r>
            <w:r>
              <w:rPr>
                <w:rFonts w:ascii="Times New Roman" w:hAnsi="Times New Roman" w:cs="Times New Roman"/>
              </w:rPr>
              <w:t xml:space="preserve"> pažangą </w:t>
            </w:r>
            <w:r w:rsidRPr="00802EDE">
              <w:rPr>
                <w:rFonts w:ascii="Times New Roman" w:hAnsi="Times New Roman" w:cs="Times New Roman"/>
              </w:rPr>
              <w:t xml:space="preserve">siekiant </w:t>
            </w:r>
            <w:r>
              <w:rPr>
                <w:rFonts w:ascii="Times New Roman" w:hAnsi="Times New Roman" w:cs="Times New Roman"/>
              </w:rPr>
              <w:t>programoje</w:t>
            </w:r>
            <w:r w:rsidRPr="00802EDE">
              <w:rPr>
                <w:rFonts w:ascii="Times New Roman" w:hAnsi="Times New Roman" w:cs="Times New Roman"/>
              </w:rPr>
              <w:t xml:space="preserve"> nustatytų tikslų?</w:t>
            </w:r>
          </w:p>
        </w:tc>
        <w:tc>
          <w:tcPr>
            <w:tcW w:w="9581" w:type="dxa"/>
          </w:tcPr>
          <w:p w14:paraId="1D8CDE84" w14:textId="6E7945C0" w:rsidR="00781FC0" w:rsidRPr="00B925C0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 w:rsidRPr="00E46445">
              <w:rPr>
                <w:rFonts w:ascii="Times New Roman" w:hAnsi="Times New Roman" w:cs="Times New Roman"/>
              </w:rPr>
              <w:t xml:space="preserve">- yra sukurta </w:t>
            </w:r>
            <w:r w:rsidRPr="00B925C0">
              <w:rPr>
                <w:rFonts w:ascii="Times New Roman" w:hAnsi="Times New Roman" w:cs="Times New Roman"/>
              </w:rPr>
              <w:t>elektroninių duomenų mainų sistema (t</w:t>
            </w:r>
            <w:r>
              <w:rPr>
                <w:rFonts w:ascii="Times New Roman" w:hAnsi="Times New Roman" w:cs="Times New Roman"/>
              </w:rPr>
              <w:t>arp vadovaujančios ir tarpinės</w:t>
            </w:r>
            <w:r w:rsidRPr="00B925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institucijų bei projektų vykdytojų</w:t>
            </w:r>
            <w:r w:rsidRPr="00B925C0">
              <w:rPr>
                <w:rFonts w:ascii="Times New Roman" w:hAnsi="Times New Roman" w:cs="Times New Roman"/>
              </w:rPr>
              <w:t>) duomenų registravimui ir saugojimui</w:t>
            </w:r>
            <w:r>
              <w:rPr>
                <w:rFonts w:ascii="Times New Roman" w:hAnsi="Times New Roman" w:cs="Times New Roman"/>
              </w:rPr>
              <w:t>, siekiant užtikrinti stebėjimo ir vertinimo sistemos veikimą;</w:t>
            </w:r>
          </w:p>
          <w:p w14:paraId="1EF6DBC3" w14:textId="008533AA" w:rsidR="00781FC0" w:rsidRPr="00B925C0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 w:rsidRPr="00B925C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duomenų teikimo </w:t>
            </w:r>
            <w:r w:rsidRPr="00B925C0">
              <w:rPr>
                <w:rFonts w:ascii="Times New Roman" w:hAnsi="Times New Roman" w:cs="Times New Roman"/>
              </w:rPr>
              <w:t xml:space="preserve">procese dalyvaujantys subjektai tinkamai supranta duomenų teikimo </w:t>
            </w:r>
            <w:r>
              <w:rPr>
                <w:rFonts w:ascii="Times New Roman" w:hAnsi="Times New Roman" w:cs="Times New Roman"/>
              </w:rPr>
              <w:t>reikalavimus ir prireikus organizuojami atitinkami mokymai arba</w:t>
            </w:r>
            <w:r w:rsidRPr="00B925C0">
              <w:rPr>
                <w:rFonts w:ascii="Times New Roman" w:hAnsi="Times New Roman" w:cs="Times New Roman"/>
              </w:rPr>
              <w:t xml:space="preserve"> informacinės sesijos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A82DA11" w14:textId="0ACB52C5" w:rsidR="00781FC0" w:rsidRPr="00B925C0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 w:rsidRPr="00B925C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a</w:t>
            </w:r>
            <w:r w:rsidRPr="00B925C0">
              <w:rPr>
                <w:rFonts w:ascii="Times New Roman" w:hAnsi="Times New Roman" w:cs="Times New Roman"/>
              </w:rPr>
              <w:t>taskaitos apie produk</w:t>
            </w:r>
            <w:r>
              <w:rPr>
                <w:rFonts w:ascii="Times New Roman" w:hAnsi="Times New Roman" w:cs="Times New Roman"/>
              </w:rPr>
              <w:t>to</w:t>
            </w:r>
            <w:r w:rsidRPr="00B925C0">
              <w:rPr>
                <w:rFonts w:ascii="Times New Roman" w:hAnsi="Times New Roman" w:cs="Times New Roman"/>
              </w:rPr>
              <w:t xml:space="preserve"> ir rezultatų rodiklius teisingai atspindi </w:t>
            </w:r>
            <w:r>
              <w:rPr>
                <w:rFonts w:ascii="Times New Roman" w:hAnsi="Times New Roman" w:cs="Times New Roman"/>
              </w:rPr>
              <w:t>rodiklių pasiekimo</w:t>
            </w:r>
            <w:r w:rsidRPr="00B925C0">
              <w:rPr>
                <w:rFonts w:ascii="Times New Roman" w:hAnsi="Times New Roman" w:cs="Times New Roman"/>
              </w:rPr>
              <w:t xml:space="preserve"> lygį </w:t>
            </w:r>
            <w:r>
              <w:rPr>
                <w:rFonts w:ascii="Times New Roman" w:hAnsi="Times New Roman" w:cs="Times New Roman"/>
              </w:rPr>
              <w:t>(nėra p</w:t>
            </w:r>
            <w:r w:rsidRPr="00B925C0">
              <w:rPr>
                <w:rFonts w:ascii="Times New Roman" w:hAnsi="Times New Roman" w:cs="Times New Roman"/>
              </w:rPr>
              <w:t>ranešam</w:t>
            </w:r>
            <w:r>
              <w:rPr>
                <w:rFonts w:ascii="Times New Roman" w:hAnsi="Times New Roman" w:cs="Times New Roman"/>
              </w:rPr>
              <w:t>os per mažos</w:t>
            </w:r>
            <w:r w:rsidRPr="00B925C0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per didelės rodiklių reikšmės</w:t>
            </w:r>
            <w:r w:rsidRPr="00B925C0">
              <w:rPr>
                <w:rFonts w:ascii="Times New Roman" w:hAnsi="Times New Roman" w:cs="Times New Roman"/>
              </w:rPr>
              <w:t>)</w:t>
            </w:r>
          </w:p>
          <w:p w14:paraId="7A317DE2" w14:textId="553E9BA1" w:rsidR="00781FC0" w:rsidRPr="00B925C0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 w:rsidRPr="00B925C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pasiekti programos</w:t>
            </w:r>
            <w:r w:rsidRPr="00B925C0">
              <w:rPr>
                <w:rFonts w:ascii="Times New Roman" w:hAnsi="Times New Roman" w:cs="Times New Roman"/>
              </w:rPr>
              <w:t xml:space="preserve"> rodikliai atspindi pagrindinius programos pasiekimus, atitinkančius program</w:t>
            </w:r>
            <w:r>
              <w:rPr>
                <w:rFonts w:ascii="Times New Roman" w:hAnsi="Times New Roman" w:cs="Times New Roman"/>
              </w:rPr>
              <w:t>os</w:t>
            </w:r>
          </w:p>
          <w:p w14:paraId="78F49B02" w14:textId="5DE55B75" w:rsidR="00781FC0" w:rsidRPr="00B925C0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 w:rsidRPr="00B925C0">
              <w:rPr>
                <w:rFonts w:ascii="Times New Roman" w:hAnsi="Times New Roman" w:cs="Times New Roman"/>
              </w:rPr>
              <w:t>intervencijos logiką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8F59B88" w14:textId="7953CA63" w:rsidR="00781FC0" w:rsidRPr="00B925C0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 w:rsidRPr="00B925C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projektų veiklos įgyvendinimo</w:t>
            </w:r>
            <w:r w:rsidRPr="00B925C0">
              <w:rPr>
                <w:rFonts w:ascii="Times New Roman" w:hAnsi="Times New Roman" w:cs="Times New Roman"/>
              </w:rPr>
              <w:t xml:space="preserve"> rodikliai naudojami siekiant užpildyti bet kokią spragą </w:t>
            </w:r>
            <w:r>
              <w:rPr>
                <w:rFonts w:ascii="Times New Roman" w:hAnsi="Times New Roman" w:cs="Times New Roman"/>
              </w:rPr>
              <w:t>programos</w:t>
            </w:r>
            <w:r w:rsidRPr="00B925C0">
              <w:rPr>
                <w:rFonts w:ascii="Times New Roman" w:hAnsi="Times New Roman" w:cs="Times New Roman"/>
              </w:rPr>
              <w:t xml:space="preserve"> rodikliuose, pagrįstuose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5C0">
              <w:rPr>
                <w:rFonts w:ascii="Times New Roman" w:hAnsi="Times New Roman" w:cs="Times New Roman"/>
              </w:rPr>
              <w:t>programos intervencijos logika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9CCD58E" w14:textId="73C1986C" w:rsidR="00781FC0" w:rsidRPr="00B925C0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</w:t>
            </w:r>
            <w:r w:rsidRPr="00B925C0">
              <w:rPr>
                <w:rFonts w:ascii="Times New Roman" w:hAnsi="Times New Roman" w:cs="Times New Roman"/>
              </w:rPr>
              <w:t xml:space="preserve">endras </w:t>
            </w:r>
            <w:r>
              <w:rPr>
                <w:rFonts w:ascii="Times New Roman" w:hAnsi="Times New Roman" w:cs="Times New Roman"/>
              </w:rPr>
              <w:t>saugomų</w:t>
            </w:r>
            <w:r w:rsidRPr="00B925C0">
              <w:rPr>
                <w:rFonts w:ascii="Times New Roman" w:hAnsi="Times New Roman" w:cs="Times New Roman"/>
              </w:rPr>
              <w:t xml:space="preserve"> duomenų rinkinys sukuria pakankamai įrodymų, kuriais remiantis galima įvertinti </w:t>
            </w:r>
            <w:r>
              <w:rPr>
                <w:rFonts w:ascii="Times New Roman" w:hAnsi="Times New Roman" w:cs="Times New Roman"/>
              </w:rPr>
              <w:t xml:space="preserve">finansavimo </w:t>
            </w:r>
            <w:r w:rsidRPr="00B925C0">
              <w:rPr>
                <w:rFonts w:ascii="Times New Roman" w:hAnsi="Times New Roman" w:cs="Times New Roman"/>
              </w:rPr>
              <w:t>poveikį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5C0">
              <w:rPr>
                <w:rFonts w:ascii="Times New Roman" w:hAnsi="Times New Roman" w:cs="Times New Roman"/>
              </w:rPr>
              <w:t>(t. y. programai priskirtinas poveikis, turintis aiškų priežastinį ryšį)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2296C79" w14:textId="77777777" w:rsidR="00781FC0" w:rsidRPr="002F48CD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 w:rsidRPr="00B925C0">
              <w:rPr>
                <w:rFonts w:ascii="Times New Roman" w:hAnsi="Times New Roman" w:cs="Times New Roman"/>
              </w:rPr>
              <w:t>-….</w:t>
            </w:r>
          </w:p>
        </w:tc>
      </w:tr>
      <w:tr w:rsidR="00781FC0" w:rsidRPr="002F48CD" w14:paraId="3F9D2C54" w14:textId="77777777" w:rsidTr="00B771E2">
        <w:tc>
          <w:tcPr>
            <w:tcW w:w="1646" w:type="dxa"/>
            <w:vMerge/>
            <w:shd w:val="clear" w:color="auto" w:fill="F2F2F2" w:themeFill="background1" w:themeFillShade="F2"/>
          </w:tcPr>
          <w:p w14:paraId="17723B7F" w14:textId="77777777" w:rsidR="00781FC0" w:rsidRPr="002F48CD" w:rsidRDefault="00781FC0" w:rsidP="0086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14:paraId="3A65B698" w14:textId="14C45AB9" w:rsidR="00781FC0" w:rsidRPr="006F5861" w:rsidRDefault="00781FC0" w:rsidP="006F5861">
            <w:pPr>
              <w:rPr>
                <w:rFonts w:ascii="Times New Roman" w:hAnsi="Times New Roman" w:cs="Times New Roman"/>
              </w:rPr>
            </w:pPr>
            <w:r w:rsidRPr="006F5861">
              <w:rPr>
                <w:rFonts w:ascii="Times New Roman" w:hAnsi="Times New Roman" w:cs="Times New Roman"/>
              </w:rPr>
              <w:t>Kaip užtikrinama</w:t>
            </w:r>
            <w:r>
              <w:rPr>
                <w:rFonts w:ascii="Times New Roman" w:hAnsi="Times New Roman" w:cs="Times New Roman"/>
              </w:rPr>
              <w:t>s</w:t>
            </w:r>
            <w:r w:rsidRPr="006F5861">
              <w:rPr>
                <w:rFonts w:ascii="Times New Roman" w:hAnsi="Times New Roman" w:cs="Times New Roman"/>
              </w:rPr>
              <w:t xml:space="preserve"> </w:t>
            </w:r>
          </w:p>
          <w:p w14:paraId="6B1AB9F6" w14:textId="5FAFE860" w:rsidR="00781FC0" w:rsidRPr="006F5861" w:rsidRDefault="00781FC0" w:rsidP="006F5861">
            <w:pPr>
              <w:rPr>
                <w:rFonts w:ascii="Times New Roman" w:hAnsi="Times New Roman" w:cs="Times New Roman"/>
              </w:rPr>
            </w:pPr>
            <w:r w:rsidRPr="006F5861">
              <w:rPr>
                <w:rFonts w:ascii="Times New Roman" w:hAnsi="Times New Roman" w:cs="Times New Roman"/>
              </w:rPr>
              <w:t>atitinkamų partnerių dalyvavimas</w:t>
            </w:r>
          </w:p>
          <w:p w14:paraId="395F823D" w14:textId="4C6B1155" w:rsidR="00781FC0" w:rsidRPr="006F5861" w:rsidRDefault="00781FC0" w:rsidP="006F5861">
            <w:pPr>
              <w:rPr>
                <w:rFonts w:ascii="Times New Roman" w:hAnsi="Times New Roman" w:cs="Times New Roman"/>
              </w:rPr>
            </w:pPr>
            <w:r w:rsidRPr="006F5861">
              <w:rPr>
                <w:rFonts w:ascii="Times New Roman" w:hAnsi="Times New Roman" w:cs="Times New Roman"/>
              </w:rPr>
              <w:t>visuose programavimo,</w:t>
            </w:r>
          </w:p>
          <w:p w14:paraId="3F3FD181" w14:textId="15620ABA" w:rsidR="00781FC0" w:rsidRPr="006F5861" w:rsidRDefault="00781FC0" w:rsidP="006F5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įgyvendinimo</w:t>
            </w:r>
            <w:r w:rsidRPr="006F58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5861">
              <w:rPr>
                <w:rFonts w:ascii="Times New Roman" w:hAnsi="Times New Roman" w:cs="Times New Roman"/>
              </w:rPr>
              <w:t>stebė</w:t>
            </w:r>
            <w:r>
              <w:rPr>
                <w:rFonts w:ascii="Times New Roman" w:hAnsi="Times New Roman" w:cs="Times New Roman"/>
              </w:rPr>
              <w:t>senos</w:t>
            </w:r>
            <w:r w:rsidRPr="006F5861">
              <w:rPr>
                <w:rFonts w:ascii="Times New Roman" w:hAnsi="Times New Roman" w:cs="Times New Roman"/>
              </w:rPr>
              <w:t xml:space="preserve"> ir</w:t>
            </w:r>
          </w:p>
          <w:p w14:paraId="14612452" w14:textId="372154F0" w:rsidR="00781FC0" w:rsidRPr="002F48CD" w:rsidRDefault="00781FC0" w:rsidP="006F5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vertinimo</w:t>
            </w:r>
            <w:r w:rsidRPr="006F5861">
              <w:rPr>
                <w:rFonts w:ascii="Times New Roman" w:hAnsi="Times New Roman" w:cs="Times New Roman"/>
              </w:rPr>
              <w:t xml:space="preserve"> etapuose?</w:t>
            </w:r>
          </w:p>
        </w:tc>
        <w:tc>
          <w:tcPr>
            <w:tcW w:w="9581" w:type="dxa"/>
          </w:tcPr>
          <w:p w14:paraId="3B8FC4A6" w14:textId="43DB64E4" w:rsidR="00781FC0" w:rsidRPr="006F5861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</w:t>
            </w:r>
            <w:r w:rsidRPr="006F5861">
              <w:rPr>
                <w:rFonts w:ascii="Times New Roman" w:hAnsi="Times New Roman" w:cs="Times New Roman"/>
              </w:rPr>
              <w:t>ra sukurta strategija, kaip nustatyti, informuoti ir pasiekti tinkamiausius partnerius ir užtikrinti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5861">
              <w:rPr>
                <w:rFonts w:ascii="Times New Roman" w:hAnsi="Times New Roman" w:cs="Times New Roman"/>
              </w:rPr>
              <w:t>jų atstovavim</w:t>
            </w:r>
            <w:r>
              <w:rPr>
                <w:rFonts w:ascii="Times New Roman" w:hAnsi="Times New Roman" w:cs="Times New Roman"/>
              </w:rPr>
              <w:t>ą S</w:t>
            </w:r>
            <w:r w:rsidRPr="006F5861">
              <w:rPr>
                <w:rFonts w:ascii="Times New Roman" w:hAnsi="Times New Roman" w:cs="Times New Roman"/>
              </w:rPr>
              <w:t>tebėsenos komitete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577EADA" w14:textId="0D3639F5" w:rsidR="00781FC0" w:rsidRPr="006F5861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 w:rsidRPr="006F586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</w:t>
            </w:r>
            <w:r w:rsidRPr="006F5861">
              <w:rPr>
                <w:rFonts w:ascii="Times New Roman" w:hAnsi="Times New Roman" w:cs="Times New Roman"/>
              </w:rPr>
              <w:t xml:space="preserve">rogramavimo etape buvo nustatyti ir įtraukti </w:t>
            </w:r>
            <w:r>
              <w:rPr>
                <w:rFonts w:ascii="Times New Roman" w:hAnsi="Times New Roman" w:cs="Times New Roman"/>
              </w:rPr>
              <w:t>susiję</w:t>
            </w:r>
            <w:r w:rsidRPr="006F5861">
              <w:rPr>
                <w:rFonts w:ascii="Times New Roman" w:hAnsi="Times New Roman" w:cs="Times New Roman"/>
              </w:rPr>
              <w:t xml:space="preserve"> partneriai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E50A5BD" w14:textId="183CF99D" w:rsidR="00781FC0" w:rsidRPr="006F5861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 w:rsidRPr="006F586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susiję partneriai dalyvauja S</w:t>
            </w:r>
            <w:r w:rsidRPr="006F5861">
              <w:rPr>
                <w:rFonts w:ascii="Times New Roman" w:hAnsi="Times New Roman" w:cs="Times New Roman"/>
              </w:rPr>
              <w:t>tebėsenos komitete, kaip apibrėžta atitinkamose S</w:t>
            </w:r>
            <w:r>
              <w:rPr>
                <w:rFonts w:ascii="Times New Roman" w:hAnsi="Times New Roman" w:cs="Times New Roman"/>
              </w:rPr>
              <w:t xml:space="preserve">tebėsenos komiteto </w:t>
            </w:r>
            <w:r w:rsidRPr="006F5861">
              <w:rPr>
                <w:rFonts w:ascii="Times New Roman" w:hAnsi="Times New Roman" w:cs="Times New Roman"/>
              </w:rPr>
              <w:t>procedūros</w:t>
            </w:r>
            <w:r>
              <w:rPr>
                <w:rFonts w:ascii="Times New Roman" w:hAnsi="Times New Roman" w:cs="Times New Roman"/>
              </w:rPr>
              <w:t xml:space="preserve">e; </w:t>
            </w:r>
          </w:p>
          <w:p w14:paraId="66F30166" w14:textId="3A833C78" w:rsidR="00781FC0" w:rsidRPr="006F5861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 w:rsidRPr="006F586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nustatyta tvarka</w:t>
            </w:r>
            <w:r w:rsidRPr="006F5861">
              <w:rPr>
                <w:rFonts w:ascii="Times New Roman" w:hAnsi="Times New Roman" w:cs="Times New Roman"/>
              </w:rPr>
              <w:t>, leidžiant</w:t>
            </w:r>
            <w:r>
              <w:rPr>
                <w:rFonts w:ascii="Times New Roman" w:hAnsi="Times New Roman" w:cs="Times New Roman"/>
              </w:rPr>
              <w:t>i</w:t>
            </w:r>
            <w:r w:rsidRPr="006F5861">
              <w:rPr>
                <w:rFonts w:ascii="Times New Roman" w:hAnsi="Times New Roman" w:cs="Times New Roman"/>
              </w:rPr>
              <w:t xml:space="preserve"> partneriams dalyvauti visuose programos ciklo etapuose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DBB2591" w14:textId="138999AC" w:rsidR="00781FC0" w:rsidRPr="002F48CD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 w:rsidRPr="006F5861">
              <w:rPr>
                <w:rFonts w:ascii="Times New Roman" w:hAnsi="Times New Roman" w:cs="Times New Roman"/>
              </w:rPr>
              <w:t>-…</w:t>
            </w:r>
          </w:p>
        </w:tc>
      </w:tr>
      <w:tr w:rsidR="00781FC0" w:rsidRPr="002F48CD" w14:paraId="064AA254" w14:textId="77777777" w:rsidTr="00B771E2">
        <w:tc>
          <w:tcPr>
            <w:tcW w:w="1646" w:type="dxa"/>
            <w:vMerge/>
            <w:shd w:val="clear" w:color="auto" w:fill="F2F2F2" w:themeFill="background1" w:themeFillShade="F2"/>
          </w:tcPr>
          <w:p w14:paraId="4933835D" w14:textId="77777777" w:rsidR="00781FC0" w:rsidRPr="002F48CD" w:rsidRDefault="00781FC0" w:rsidP="0086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14:paraId="584367BE" w14:textId="5777F5E3" w:rsidR="00781FC0" w:rsidRPr="002F48CD" w:rsidRDefault="00781FC0" w:rsidP="00D5753D">
            <w:pPr>
              <w:rPr>
                <w:rFonts w:ascii="Times New Roman" w:hAnsi="Times New Roman" w:cs="Times New Roman"/>
              </w:rPr>
            </w:pPr>
            <w:r w:rsidRPr="00D5753D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iek programos įgyvendinimas neprieštarauja</w:t>
            </w:r>
            <w:r w:rsidRPr="00D5753D">
              <w:rPr>
                <w:rFonts w:ascii="Times New Roman" w:hAnsi="Times New Roman" w:cs="Times New Roman"/>
              </w:rPr>
              <w:t xml:space="preserve"> arba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753D">
              <w:rPr>
                <w:rFonts w:ascii="Times New Roman" w:hAnsi="Times New Roman" w:cs="Times New Roman"/>
              </w:rPr>
              <w:t>skatin</w:t>
            </w:r>
            <w:r>
              <w:rPr>
                <w:rFonts w:ascii="Times New Roman" w:hAnsi="Times New Roman" w:cs="Times New Roman"/>
              </w:rPr>
              <w:t>a</w:t>
            </w:r>
            <w:r w:rsidRPr="00D5753D">
              <w:rPr>
                <w:rFonts w:ascii="Times New Roman" w:hAnsi="Times New Roman" w:cs="Times New Roman"/>
              </w:rPr>
              <w:t xml:space="preserve"> horizontal</w:t>
            </w:r>
            <w:r>
              <w:rPr>
                <w:rFonts w:ascii="Times New Roman" w:hAnsi="Times New Roman" w:cs="Times New Roman"/>
              </w:rPr>
              <w:t>iųjų principų įgyvendinimą</w:t>
            </w:r>
            <w:r w:rsidRPr="00D5753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581" w:type="dxa"/>
          </w:tcPr>
          <w:p w14:paraId="0310FE47" w14:textId="1149D934" w:rsidR="00781FC0" w:rsidRPr="00D5753D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</w:t>
            </w:r>
            <w:r w:rsidRPr="00D5753D">
              <w:rPr>
                <w:rFonts w:ascii="Times New Roman" w:hAnsi="Times New Roman" w:cs="Times New Roman"/>
              </w:rPr>
              <w:t xml:space="preserve">ra nustatytos tinkamos organizacinės ir procedūrinės priemonės, užtikrinančios, kad įgyvendinant programą būtų laikomasi ES pagrindinių teisų chartijos nuostatų </w:t>
            </w:r>
            <w:r>
              <w:rPr>
                <w:rFonts w:ascii="Times New Roman" w:hAnsi="Times New Roman" w:cs="Times New Roman"/>
              </w:rPr>
              <w:t>– BNR 9 str. 1 d.;</w:t>
            </w:r>
          </w:p>
          <w:p w14:paraId="36F5B8C9" w14:textId="1D16DDDB" w:rsidR="00781FC0" w:rsidRPr="00D5753D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</w:t>
            </w:r>
            <w:r w:rsidRPr="00D5753D">
              <w:rPr>
                <w:rFonts w:ascii="Times New Roman" w:hAnsi="Times New Roman" w:cs="Times New Roman"/>
              </w:rPr>
              <w:t xml:space="preserve">ra nustatytos tinkamos organizacinės ir procedūrinės priemonės, užtikrinančios, kad visuose </w:t>
            </w:r>
            <w:r>
              <w:rPr>
                <w:rFonts w:ascii="Times New Roman" w:hAnsi="Times New Roman" w:cs="Times New Roman"/>
              </w:rPr>
              <w:t>programos rengimo, įgyvendinimo, stebėsenos, ataskaitų teikimo ir vertinimo</w:t>
            </w:r>
            <w:r w:rsidRPr="00D5753D">
              <w:rPr>
                <w:rFonts w:ascii="Times New Roman" w:hAnsi="Times New Roman" w:cs="Times New Roman"/>
              </w:rPr>
              <w:t xml:space="preserve"> etapuose būtų atlikti tinkami veiksmai</w:t>
            </w:r>
            <w:r>
              <w:rPr>
                <w:rFonts w:ascii="Times New Roman" w:hAnsi="Times New Roman" w:cs="Times New Roman"/>
              </w:rPr>
              <w:t xml:space="preserve"> neprieštaraujant</w:t>
            </w:r>
            <w:r w:rsidRPr="00D5753D">
              <w:rPr>
                <w:rFonts w:ascii="Times New Roman" w:hAnsi="Times New Roman" w:cs="Times New Roman"/>
              </w:rPr>
              <w:t xml:space="preserve"> ir </w:t>
            </w:r>
            <w:r>
              <w:rPr>
                <w:rFonts w:ascii="Times New Roman" w:hAnsi="Times New Roman" w:cs="Times New Roman"/>
              </w:rPr>
              <w:t xml:space="preserve">(ar) </w:t>
            </w:r>
            <w:r w:rsidRPr="00D5753D">
              <w:rPr>
                <w:rFonts w:ascii="Times New Roman" w:hAnsi="Times New Roman" w:cs="Times New Roman"/>
              </w:rPr>
              <w:t>skatina</w:t>
            </w:r>
            <w:r>
              <w:rPr>
                <w:rFonts w:ascii="Times New Roman" w:hAnsi="Times New Roman" w:cs="Times New Roman"/>
              </w:rPr>
              <w:t>nt lyčių lygybę</w:t>
            </w:r>
            <w:r w:rsidRPr="00D5753D">
              <w:rPr>
                <w:rFonts w:ascii="Times New Roman" w:hAnsi="Times New Roman" w:cs="Times New Roman"/>
              </w:rPr>
              <w:t xml:space="preserve"> ir lyčių asp</w:t>
            </w:r>
            <w:r>
              <w:rPr>
                <w:rFonts w:ascii="Times New Roman" w:hAnsi="Times New Roman" w:cs="Times New Roman"/>
              </w:rPr>
              <w:t xml:space="preserve">ekto integravimą </w:t>
            </w:r>
            <w:r w:rsidRPr="00D5753D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BNR 9 str. </w:t>
            </w:r>
            <w:r w:rsidRPr="00D5753D">
              <w:rPr>
                <w:rFonts w:ascii="Times New Roman" w:hAnsi="Times New Roman" w:cs="Times New Roman"/>
              </w:rPr>
              <w:t>2 d</w:t>
            </w:r>
            <w:r>
              <w:rPr>
                <w:rFonts w:ascii="Times New Roman" w:hAnsi="Times New Roman" w:cs="Times New Roman"/>
              </w:rPr>
              <w:t>.;</w:t>
            </w:r>
          </w:p>
          <w:p w14:paraId="0BBED92E" w14:textId="5B312881" w:rsidR="00781FC0" w:rsidRPr="00D5753D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 w:rsidRPr="00D5753D">
              <w:rPr>
                <w:rFonts w:ascii="Times New Roman" w:hAnsi="Times New Roman" w:cs="Times New Roman"/>
              </w:rPr>
              <w:t xml:space="preserve">- </w:t>
            </w:r>
            <w:r w:rsidRPr="006968B7">
              <w:rPr>
                <w:rFonts w:ascii="Times New Roman" w:hAnsi="Times New Roman" w:cs="Times New Roman"/>
              </w:rPr>
              <w:t xml:space="preserve">yra nustatytos tinkamos </w:t>
            </w:r>
            <w:r w:rsidRPr="00D5753D">
              <w:rPr>
                <w:rFonts w:ascii="Times New Roman" w:hAnsi="Times New Roman" w:cs="Times New Roman"/>
              </w:rPr>
              <w:t>organizacinės ir procedūrinės priemonės, leidžiančios imtis atitinkamų veiksmų</w:t>
            </w:r>
          </w:p>
          <w:p w14:paraId="339E6B3D" w14:textId="637EF5E6" w:rsidR="00781FC0" w:rsidRPr="00D5753D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 w:rsidRPr="00D5753D">
              <w:rPr>
                <w:rFonts w:ascii="Times New Roman" w:hAnsi="Times New Roman" w:cs="Times New Roman"/>
              </w:rPr>
              <w:t xml:space="preserve">užkirsti kelią diskriminacijai visais pagrindais ir visuose programavimo ciklo etapuose – </w:t>
            </w:r>
            <w:r w:rsidRPr="006968B7">
              <w:rPr>
                <w:rFonts w:ascii="Times New Roman" w:hAnsi="Times New Roman" w:cs="Times New Roman"/>
              </w:rPr>
              <w:t xml:space="preserve">BNR 9 str. </w:t>
            </w:r>
            <w:r w:rsidRPr="00D5753D">
              <w:rPr>
                <w:rFonts w:ascii="Times New Roman" w:hAnsi="Times New Roman" w:cs="Times New Roman"/>
              </w:rPr>
              <w:t>3</w:t>
            </w:r>
            <w:r w:rsidRPr="006968B7">
              <w:rPr>
                <w:rFonts w:ascii="Times New Roman" w:hAnsi="Times New Roman" w:cs="Times New Roman"/>
              </w:rPr>
              <w:t xml:space="preserve"> d.;</w:t>
            </w:r>
          </w:p>
          <w:p w14:paraId="0662B845" w14:textId="3A8F259C" w:rsidR="00781FC0" w:rsidRPr="00D5753D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 w:rsidRPr="00D5753D">
              <w:rPr>
                <w:rFonts w:ascii="Times New Roman" w:hAnsi="Times New Roman" w:cs="Times New Roman"/>
              </w:rPr>
              <w:t xml:space="preserve">- </w:t>
            </w:r>
            <w:r w:rsidRPr="006968B7">
              <w:rPr>
                <w:rFonts w:ascii="Times New Roman" w:hAnsi="Times New Roman" w:cs="Times New Roman"/>
              </w:rPr>
              <w:t xml:space="preserve">yra nustatytos tinkamos </w:t>
            </w:r>
            <w:r>
              <w:rPr>
                <w:rFonts w:ascii="Times New Roman" w:hAnsi="Times New Roman" w:cs="Times New Roman"/>
              </w:rPr>
              <w:t>priemonės, užtikrinančio</w:t>
            </w:r>
            <w:r w:rsidRPr="00D5753D">
              <w:rPr>
                <w:rFonts w:ascii="Times New Roman" w:hAnsi="Times New Roman" w:cs="Times New Roman"/>
              </w:rPr>
              <w:t xml:space="preserve">s, kad </w:t>
            </w:r>
            <w:r>
              <w:rPr>
                <w:rFonts w:ascii="Times New Roman" w:hAnsi="Times New Roman" w:cs="Times New Roman"/>
              </w:rPr>
              <w:t xml:space="preserve">programos </w:t>
            </w:r>
            <w:r w:rsidRPr="00D5753D">
              <w:rPr>
                <w:rFonts w:ascii="Times New Roman" w:hAnsi="Times New Roman" w:cs="Times New Roman"/>
              </w:rPr>
              <w:t xml:space="preserve">įgyvendinimas būtų suderintas su </w:t>
            </w:r>
            <w:r w:rsidRPr="006968B7">
              <w:rPr>
                <w:rFonts w:ascii="Times New Roman" w:hAnsi="Times New Roman" w:cs="Times New Roman"/>
              </w:rPr>
              <w:t>darnaus vystymosi</w:t>
            </w:r>
            <w:r>
              <w:rPr>
                <w:rFonts w:ascii="Times New Roman" w:hAnsi="Times New Roman" w:cs="Times New Roman"/>
              </w:rPr>
              <w:t xml:space="preserve"> tikslu,</w:t>
            </w:r>
            <w:r w:rsidRPr="00D5753D">
              <w:rPr>
                <w:rFonts w:ascii="Times New Roman" w:hAnsi="Times New Roman" w:cs="Times New Roman"/>
              </w:rPr>
              <w:t xml:space="preserve"> kaip nustatyta SESV 11 straipsnyje, atsižvelgiant į JT </w:t>
            </w:r>
            <w:r>
              <w:rPr>
                <w:rFonts w:ascii="Times New Roman" w:hAnsi="Times New Roman" w:cs="Times New Roman"/>
              </w:rPr>
              <w:t xml:space="preserve">darnaus vystymosi tikslus, Paryžiaus susitarimą ir </w:t>
            </w:r>
            <w:r w:rsidRPr="00BA693F">
              <w:rPr>
                <w:rFonts w:ascii="Times New Roman" w:hAnsi="Times New Roman" w:cs="Times New Roman"/>
              </w:rPr>
              <w:t>reik</w:t>
            </w:r>
            <w:r>
              <w:rPr>
                <w:rFonts w:ascii="Times New Roman" w:hAnsi="Times New Roman" w:cs="Times New Roman"/>
              </w:rPr>
              <w:t xml:space="preserve">šmingos žalos nedarymo principą </w:t>
            </w:r>
            <w:r w:rsidRPr="00D5753D">
              <w:rPr>
                <w:rFonts w:ascii="Times New Roman" w:hAnsi="Times New Roman" w:cs="Times New Roman"/>
              </w:rPr>
              <w:t xml:space="preserve">– </w:t>
            </w:r>
            <w:r w:rsidRPr="006968B7">
              <w:rPr>
                <w:rFonts w:ascii="Times New Roman" w:hAnsi="Times New Roman" w:cs="Times New Roman"/>
              </w:rPr>
              <w:t xml:space="preserve">BNR 9 str. </w:t>
            </w:r>
            <w:r w:rsidRPr="00D5753D">
              <w:rPr>
                <w:rFonts w:ascii="Times New Roman" w:hAnsi="Times New Roman" w:cs="Times New Roman"/>
              </w:rPr>
              <w:t>4 d</w:t>
            </w:r>
            <w:r>
              <w:rPr>
                <w:rFonts w:ascii="Times New Roman" w:hAnsi="Times New Roman" w:cs="Times New Roman"/>
              </w:rPr>
              <w:t>.;</w:t>
            </w:r>
          </w:p>
          <w:p w14:paraId="2CEFCAFA" w14:textId="1443E34B" w:rsidR="00781FC0" w:rsidRPr="002F48CD" w:rsidRDefault="00781FC0" w:rsidP="00D5753D">
            <w:pPr>
              <w:jc w:val="both"/>
              <w:rPr>
                <w:rFonts w:ascii="Times New Roman" w:hAnsi="Times New Roman" w:cs="Times New Roman"/>
              </w:rPr>
            </w:pPr>
            <w:r w:rsidRPr="00D5753D">
              <w:rPr>
                <w:rFonts w:ascii="Times New Roman" w:hAnsi="Times New Roman" w:cs="Times New Roman"/>
              </w:rPr>
              <w:t>-…</w:t>
            </w:r>
          </w:p>
        </w:tc>
      </w:tr>
      <w:tr w:rsidR="00605A55" w:rsidRPr="002F48CD" w14:paraId="349D6378" w14:textId="77777777" w:rsidTr="00411A6C">
        <w:trPr>
          <w:trHeight w:val="562"/>
        </w:trPr>
        <w:tc>
          <w:tcPr>
            <w:tcW w:w="1646" w:type="dxa"/>
            <w:vMerge/>
            <w:shd w:val="clear" w:color="auto" w:fill="F2F2F2" w:themeFill="background1" w:themeFillShade="F2"/>
          </w:tcPr>
          <w:p w14:paraId="09AAA6D6" w14:textId="643741F8" w:rsidR="00605A55" w:rsidRPr="002F48CD" w:rsidRDefault="00605A55" w:rsidP="0086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14:paraId="2E8F9D14" w14:textId="07E4D3A0" w:rsidR="00605A55" w:rsidRPr="007C424F" w:rsidRDefault="00605A55" w:rsidP="00781FC0">
            <w:pPr>
              <w:rPr>
                <w:rFonts w:ascii="Times New Roman" w:hAnsi="Times New Roman" w:cs="Times New Roman"/>
              </w:rPr>
            </w:pPr>
            <w:r w:rsidRPr="007C424F">
              <w:rPr>
                <w:rFonts w:ascii="Times New Roman" w:hAnsi="Times New Roman" w:cs="Times New Roman"/>
              </w:rPr>
              <w:t>Kiek  programa yra</w:t>
            </w:r>
          </w:p>
          <w:p w14:paraId="034F3080" w14:textId="58047365" w:rsidR="00605A55" w:rsidRPr="007C424F" w:rsidRDefault="00605A55" w:rsidP="00781FC0">
            <w:pPr>
              <w:rPr>
                <w:rFonts w:ascii="Times New Roman" w:hAnsi="Times New Roman" w:cs="Times New Roman"/>
              </w:rPr>
            </w:pPr>
            <w:r w:rsidRPr="007C424F">
              <w:rPr>
                <w:rFonts w:ascii="Times New Roman" w:hAnsi="Times New Roman" w:cs="Times New Roman"/>
              </w:rPr>
              <w:t>efektyvi vykdant komunikacijos veiklą apie finansavimo</w:t>
            </w:r>
          </w:p>
          <w:p w14:paraId="72CF17A3" w14:textId="5BCB7C44" w:rsidR="00605A55" w:rsidRPr="007C424F" w:rsidRDefault="00605A55" w:rsidP="00236DFB">
            <w:pPr>
              <w:rPr>
                <w:rFonts w:ascii="Times New Roman" w:hAnsi="Times New Roman" w:cs="Times New Roman"/>
              </w:rPr>
            </w:pPr>
            <w:r w:rsidRPr="007C424F">
              <w:rPr>
                <w:rFonts w:ascii="Times New Roman" w:hAnsi="Times New Roman" w:cs="Times New Roman"/>
              </w:rPr>
              <w:t>galimybes bei pasiektus rezultatus?</w:t>
            </w:r>
          </w:p>
        </w:tc>
        <w:tc>
          <w:tcPr>
            <w:tcW w:w="9581" w:type="dxa"/>
          </w:tcPr>
          <w:p w14:paraId="301457FC" w14:textId="5D07D5AB" w:rsidR="00605A55" w:rsidRPr="007C424F" w:rsidRDefault="00605A55" w:rsidP="00B771E2">
            <w:pPr>
              <w:jc w:val="both"/>
              <w:rPr>
                <w:rFonts w:ascii="Times New Roman" w:hAnsi="Times New Roman" w:cs="Times New Roman"/>
              </w:rPr>
            </w:pPr>
            <w:r w:rsidRPr="007C424F">
              <w:rPr>
                <w:rFonts w:ascii="Times New Roman" w:hAnsi="Times New Roman" w:cs="Times New Roman"/>
              </w:rPr>
              <w:t>- komunikacijos veikla pasiekia tikslinę auditoriją ir yra vykdoma tinkamai derinant komunikacijos kanalus ir platformas, įskaitant žiniasklaidą;</w:t>
            </w:r>
          </w:p>
          <w:p w14:paraId="17802834" w14:textId="6FA387F4" w:rsidR="00605A55" w:rsidRPr="007C424F" w:rsidRDefault="00605A55" w:rsidP="00B771E2">
            <w:pPr>
              <w:jc w:val="both"/>
              <w:rPr>
                <w:rFonts w:ascii="Times New Roman" w:hAnsi="Times New Roman" w:cs="Times New Roman"/>
              </w:rPr>
            </w:pPr>
            <w:r w:rsidRPr="007C424F">
              <w:rPr>
                <w:rFonts w:ascii="Times New Roman" w:hAnsi="Times New Roman" w:cs="Times New Roman"/>
              </w:rPr>
              <w:t xml:space="preserve">- </w:t>
            </w:r>
            <w:r w:rsidR="00F0588E">
              <w:rPr>
                <w:rFonts w:ascii="Times New Roman" w:hAnsi="Times New Roman" w:cs="Times New Roman"/>
              </w:rPr>
              <w:t>f</w:t>
            </w:r>
            <w:r w:rsidRPr="007C424F">
              <w:rPr>
                <w:rFonts w:ascii="Times New Roman" w:hAnsi="Times New Roman" w:cs="Times New Roman"/>
              </w:rPr>
              <w:t>inansavimo galimybės yra tinkamai reklamuojamos ir pasiekia nustatytą tikslinę potencialių paramos gavėjų grupę</w:t>
            </w:r>
          </w:p>
          <w:p w14:paraId="0DCAB564" w14:textId="2A931B93" w:rsidR="00605A55" w:rsidRPr="007C424F" w:rsidRDefault="00605A55" w:rsidP="00236DFB">
            <w:pPr>
              <w:rPr>
                <w:rFonts w:ascii="Times New Roman" w:hAnsi="Times New Roman" w:cs="Times New Roman"/>
              </w:rPr>
            </w:pPr>
            <w:r w:rsidRPr="007C424F">
              <w:rPr>
                <w:rFonts w:ascii="Times New Roman" w:hAnsi="Times New Roman" w:cs="Times New Roman"/>
              </w:rPr>
              <w:t>-…</w:t>
            </w:r>
          </w:p>
        </w:tc>
      </w:tr>
      <w:tr w:rsidR="00605A55" w:rsidRPr="002F48CD" w14:paraId="153009F5" w14:textId="77777777" w:rsidTr="00B771E2">
        <w:tc>
          <w:tcPr>
            <w:tcW w:w="1646" w:type="dxa"/>
            <w:vMerge w:val="restart"/>
            <w:shd w:val="clear" w:color="auto" w:fill="F2F2F2" w:themeFill="background1" w:themeFillShade="F2"/>
          </w:tcPr>
          <w:p w14:paraId="686ABDED" w14:textId="65CBC4BF" w:rsidR="00605A55" w:rsidRPr="002F48CD" w:rsidRDefault="00605A55" w:rsidP="008641E2">
            <w:pPr>
              <w:rPr>
                <w:rFonts w:ascii="Times New Roman" w:hAnsi="Times New Roman" w:cs="Times New Roman"/>
              </w:rPr>
            </w:pPr>
            <w:r w:rsidRPr="002F48CD">
              <w:rPr>
                <w:rFonts w:ascii="Times New Roman" w:hAnsi="Times New Roman" w:cs="Times New Roman"/>
              </w:rPr>
              <w:lastRenderedPageBreak/>
              <w:t>Aktualumas (</w:t>
            </w:r>
            <w:proofErr w:type="spellStart"/>
            <w:r w:rsidRPr="002D7A53">
              <w:rPr>
                <w:rFonts w:ascii="Times New Roman" w:hAnsi="Times New Roman" w:cs="Times New Roman"/>
                <w:i/>
              </w:rPr>
              <w:t>relevance</w:t>
            </w:r>
            <w:proofErr w:type="spellEnd"/>
            <w:r w:rsidRPr="002F48CD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3227" w:type="dxa"/>
          </w:tcPr>
          <w:p w14:paraId="62052B80" w14:textId="5A2457B1" w:rsidR="00605A55" w:rsidRPr="002F48CD" w:rsidRDefault="00652E44" w:rsidP="00411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Kokia apimtimi</w:t>
            </w:r>
            <w:r w:rsidR="00411A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="00605A55" w:rsidRPr="00605A55">
              <w:rPr>
                <w:rFonts w:ascii="Times New Roman" w:hAnsi="Times New Roman" w:cs="Times New Roman"/>
              </w:rPr>
              <w:t>rogram</w:t>
            </w:r>
            <w:r w:rsidR="00605A55">
              <w:rPr>
                <w:rFonts w:ascii="Times New Roman" w:hAnsi="Times New Roman" w:cs="Times New Roman"/>
              </w:rPr>
              <w:t>a finansuoja ekonomiškai efektyvias priemones</w:t>
            </w:r>
            <w:r w:rsidR="00605A55" w:rsidRPr="00605A5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581" w:type="dxa"/>
          </w:tcPr>
          <w:p w14:paraId="7A3C7BB4" w14:textId="4D6B569C" w:rsidR="00605A55" w:rsidRPr="00605A55" w:rsidRDefault="00605A55" w:rsidP="00605A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605A55">
              <w:rPr>
                <w:rFonts w:ascii="Times New Roman" w:hAnsi="Times New Roman" w:cs="Times New Roman"/>
              </w:rPr>
              <w:t xml:space="preserve">rograma remia intervencinių priemonių rūšis </w:t>
            </w:r>
            <w:r>
              <w:rPr>
                <w:rFonts w:ascii="Times New Roman" w:hAnsi="Times New Roman" w:cs="Times New Roman"/>
              </w:rPr>
              <w:t>ir veiksmų tipus, kurie,</w:t>
            </w:r>
            <w:r w:rsidRPr="00605A55">
              <w:rPr>
                <w:rFonts w:ascii="Times New Roman" w:hAnsi="Times New Roman" w:cs="Times New Roman"/>
              </w:rPr>
              <w:t xml:space="preserve"> remiantis turimais </w:t>
            </w:r>
            <w:proofErr w:type="spellStart"/>
            <w:r w:rsidRPr="00605A55">
              <w:rPr>
                <w:rFonts w:ascii="Times New Roman" w:hAnsi="Times New Roman" w:cs="Times New Roman"/>
              </w:rPr>
              <w:t>įrodymais</w:t>
            </w:r>
            <w:proofErr w:type="spellEnd"/>
            <w:r w:rsidRPr="00605A55">
              <w:rPr>
                <w:rFonts w:ascii="Times New Roman" w:hAnsi="Times New Roman" w:cs="Times New Roman"/>
              </w:rPr>
              <w:t xml:space="preserve">, įskaitant, pvz., atitinkamą akademinę literatūrą, ankstesnių programų </w:t>
            </w:r>
            <w:proofErr w:type="spellStart"/>
            <w:r w:rsidRPr="00605A55">
              <w:rPr>
                <w:rFonts w:ascii="Times New Roman" w:hAnsi="Times New Roman" w:cs="Times New Roman"/>
                <w:i/>
              </w:rPr>
              <w:t>ex-post</w:t>
            </w:r>
            <w:proofErr w:type="spellEnd"/>
            <w:r w:rsidRPr="00605A55">
              <w:rPr>
                <w:rFonts w:ascii="Times New Roman" w:hAnsi="Times New Roman" w:cs="Times New Roman"/>
              </w:rPr>
              <w:t xml:space="preserve"> vertinimą ir pan.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05A55">
              <w:rPr>
                <w:rFonts w:ascii="Times New Roman" w:hAnsi="Times New Roman" w:cs="Times New Roman"/>
              </w:rPr>
              <w:t>yra žinomi kaip veiksmingi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05A55">
              <w:rPr>
                <w:rFonts w:ascii="Times New Roman" w:hAnsi="Times New Roman" w:cs="Times New Roman"/>
              </w:rPr>
              <w:t>ekonomiški;</w:t>
            </w:r>
          </w:p>
          <w:p w14:paraId="4C677709" w14:textId="45C2EF09" w:rsidR="00605A55" w:rsidRPr="00605A55" w:rsidRDefault="00605A55" w:rsidP="00605A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</w:t>
            </w:r>
            <w:r w:rsidRPr="00605A55">
              <w:rPr>
                <w:rFonts w:ascii="Times New Roman" w:hAnsi="Times New Roman" w:cs="Times New Roman"/>
              </w:rPr>
              <w:t xml:space="preserve">nkstyvieji </w:t>
            </w:r>
            <w:r>
              <w:rPr>
                <w:rFonts w:ascii="Times New Roman" w:hAnsi="Times New Roman" w:cs="Times New Roman"/>
              </w:rPr>
              <w:t>veiksmų</w:t>
            </w:r>
            <w:r w:rsidR="00D02AD3">
              <w:rPr>
                <w:rFonts w:ascii="Times New Roman" w:hAnsi="Times New Roman" w:cs="Times New Roman"/>
              </w:rPr>
              <w:t xml:space="preserve"> / projektų</w:t>
            </w:r>
            <w:r>
              <w:rPr>
                <w:rFonts w:ascii="Times New Roman" w:hAnsi="Times New Roman" w:cs="Times New Roman"/>
              </w:rPr>
              <w:t xml:space="preserve"> įgyvendinimo</w:t>
            </w:r>
            <w:r w:rsidRPr="00605A55">
              <w:rPr>
                <w:rFonts w:ascii="Times New Roman" w:hAnsi="Times New Roman" w:cs="Times New Roman"/>
              </w:rPr>
              <w:t xml:space="preserve"> įrodymai rodo, kad </w:t>
            </w:r>
            <w:r w:rsidR="00D02AD3">
              <w:rPr>
                <w:rFonts w:ascii="Times New Roman" w:hAnsi="Times New Roman" w:cs="Times New Roman"/>
              </w:rPr>
              <w:t xml:space="preserve">juose naudojama </w:t>
            </w:r>
            <w:r w:rsidRPr="00605A55">
              <w:rPr>
                <w:rFonts w:ascii="Times New Roman" w:hAnsi="Times New Roman" w:cs="Times New Roman"/>
              </w:rPr>
              <w:t xml:space="preserve">vieneto kaina atitinka arba </w:t>
            </w:r>
            <w:r w:rsidR="00023E75">
              <w:rPr>
                <w:rFonts w:ascii="Times New Roman" w:hAnsi="Times New Roman" w:cs="Times New Roman"/>
              </w:rPr>
              <w:t xml:space="preserve">yra </w:t>
            </w:r>
            <w:r w:rsidRPr="00605A55">
              <w:rPr>
                <w:rFonts w:ascii="Times New Roman" w:hAnsi="Times New Roman" w:cs="Times New Roman"/>
              </w:rPr>
              <w:t>mažesnė už esamą</w:t>
            </w:r>
            <w:r w:rsidR="00D02AD3">
              <w:rPr>
                <w:rFonts w:ascii="Times New Roman" w:hAnsi="Times New Roman" w:cs="Times New Roman"/>
              </w:rPr>
              <w:t xml:space="preserve"> rinkos kainą / vidurkius;</w:t>
            </w:r>
          </w:p>
          <w:p w14:paraId="384E784D" w14:textId="28F42A50" w:rsidR="00605A55" w:rsidRPr="00605A55" w:rsidRDefault="00D02AD3" w:rsidP="00B7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</w:t>
            </w:r>
            <w:r w:rsidR="00605A55" w:rsidRPr="00605A55">
              <w:rPr>
                <w:rFonts w:ascii="Times New Roman" w:hAnsi="Times New Roman" w:cs="Times New Roman"/>
              </w:rPr>
              <w:t xml:space="preserve">ieneto kainos skirtumus tarp panašių </w:t>
            </w:r>
            <w:r w:rsidRPr="00D02AD3">
              <w:rPr>
                <w:rFonts w:ascii="Times New Roman" w:hAnsi="Times New Roman" w:cs="Times New Roman"/>
              </w:rPr>
              <w:t xml:space="preserve">veiksmų / projektų </w:t>
            </w:r>
            <w:r w:rsidR="00605A55" w:rsidRPr="00605A55">
              <w:rPr>
                <w:rFonts w:ascii="Times New Roman" w:hAnsi="Times New Roman" w:cs="Times New Roman"/>
              </w:rPr>
              <w:t>toje pačioje programoje galima paaiškinti ir</w:t>
            </w:r>
          </w:p>
          <w:p w14:paraId="3569E842" w14:textId="782CA424" w:rsidR="00605A55" w:rsidRPr="00605A55" w:rsidRDefault="00605A55" w:rsidP="00B771E2">
            <w:pPr>
              <w:jc w:val="both"/>
              <w:rPr>
                <w:rFonts w:ascii="Times New Roman" w:hAnsi="Times New Roman" w:cs="Times New Roman"/>
              </w:rPr>
            </w:pPr>
            <w:r w:rsidRPr="00605A55">
              <w:rPr>
                <w:rFonts w:ascii="Times New Roman" w:hAnsi="Times New Roman" w:cs="Times New Roman"/>
              </w:rPr>
              <w:t>pateisin</w:t>
            </w:r>
            <w:r w:rsidR="00D02AD3">
              <w:rPr>
                <w:rFonts w:ascii="Times New Roman" w:hAnsi="Times New Roman" w:cs="Times New Roman"/>
              </w:rPr>
              <w:t xml:space="preserve">ti (pvz., siūlomo finansavimo </w:t>
            </w:r>
            <w:r w:rsidRPr="00605A55">
              <w:rPr>
                <w:rFonts w:ascii="Times New Roman" w:hAnsi="Times New Roman" w:cs="Times New Roman"/>
              </w:rPr>
              <w:t>intensyvumo</w:t>
            </w:r>
            <w:r w:rsidR="00D02AD3">
              <w:rPr>
                <w:rFonts w:ascii="Times New Roman" w:hAnsi="Times New Roman" w:cs="Times New Roman"/>
              </w:rPr>
              <w:t>,</w:t>
            </w:r>
            <w:r w:rsidRPr="00605A55">
              <w:rPr>
                <w:rFonts w:ascii="Times New Roman" w:hAnsi="Times New Roman" w:cs="Times New Roman"/>
              </w:rPr>
              <w:t xml:space="preserve"> kokybės skirtumai, novatoriškumas ir pan.)</w:t>
            </w:r>
          </w:p>
          <w:p w14:paraId="7B62B7BF" w14:textId="3AFFEDFD" w:rsidR="00605A55" w:rsidRPr="002F48CD" w:rsidRDefault="00605A55" w:rsidP="00605A55">
            <w:pPr>
              <w:rPr>
                <w:rFonts w:ascii="Times New Roman" w:hAnsi="Times New Roman" w:cs="Times New Roman"/>
              </w:rPr>
            </w:pPr>
            <w:r w:rsidRPr="00605A55">
              <w:rPr>
                <w:rFonts w:ascii="Times New Roman" w:hAnsi="Times New Roman" w:cs="Times New Roman"/>
              </w:rPr>
              <w:t>-…</w:t>
            </w:r>
          </w:p>
        </w:tc>
      </w:tr>
      <w:tr w:rsidR="00605A55" w:rsidRPr="002F48CD" w14:paraId="2AFF8053" w14:textId="77777777" w:rsidTr="00B771E2">
        <w:tc>
          <w:tcPr>
            <w:tcW w:w="1646" w:type="dxa"/>
            <w:vMerge/>
            <w:shd w:val="clear" w:color="auto" w:fill="F2F2F2" w:themeFill="background1" w:themeFillShade="F2"/>
          </w:tcPr>
          <w:p w14:paraId="7291D782" w14:textId="169824E3" w:rsidR="00605A55" w:rsidRPr="002F48CD" w:rsidRDefault="00605A55" w:rsidP="0086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14:paraId="6128E931" w14:textId="4C422568" w:rsidR="00652E44" w:rsidRPr="00652E44" w:rsidRDefault="00652E44" w:rsidP="00652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Kiek</w:t>
            </w:r>
            <w:r w:rsidRPr="00652E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valdymo</w:t>
            </w:r>
            <w:r w:rsidRPr="00652E44">
              <w:rPr>
                <w:rFonts w:ascii="Times New Roman" w:hAnsi="Times New Roman" w:cs="Times New Roman"/>
              </w:rPr>
              <w:t xml:space="preserve"> ir kontrolė</w:t>
            </w:r>
            <w:r>
              <w:rPr>
                <w:rFonts w:ascii="Times New Roman" w:hAnsi="Times New Roman" w:cs="Times New Roman"/>
              </w:rPr>
              <w:t>s</w:t>
            </w:r>
          </w:p>
          <w:p w14:paraId="600587E4" w14:textId="19593045" w:rsidR="00605A55" w:rsidRPr="002F48CD" w:rsidRDefault="00652E44" w:rsidP="00652E44">
            <w:pPr>
              <w:rPr>
                <w:rFonts w:ascii="Times New Roman" w:hAnsi="Times New Roman" w:cs="Times New Roman"/>
              </w:rPr>
            </w:pPr>
            <w:r w:rsidRPr="00652E44">
              <w:rPr>
                <w:rFonts w:ascii="Times New Roman" w:hAnsi="Times New Roman" w:cs="Times New Roman"/>
              </w:rPr>
              <w:t>sistema yra efektyvi?</w:t>
            </w:r>
          </w:p>
        </w:tc>
        <w:tc>
          <w:tcPr>
            <w:tcW w:w="9581" w:type="dxa"/>
          </w:tcPr>
          <w:p w14:paraId="482D8AAF" w14:textId="4B1538C0" w:rsidR="00652E44" w:rsidRPr="00652E44" w:rsidRDefault="003C2A46" w:rsidP="003C2A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kaip nustatyta </w:t>
            </w:r>
            <w:r w:rsidR="00652E44" w:rsidRPr="00652E44">
              <w:rPr>
                <w:rFonts w:ascii="Times New Roman" w:hAnsi="Times New Roman" w:cs="Times New Roman"/>
              </w:rPr>
              <w:t>teisin</w:t>
            </w:r>
            <w:r>
              <w:rPr>
                <w:rFonts w:ascii="Times New Roman" w:hAnsi="Times New Roman" w:cs="Times New Roman"/>
              </w:rPr>
              <w:t xml:space="preserve">ėje bazėje, </w:t>
            </w:r>
            <w:r w:rsidR="00652E44" w:rsidRPr="00652E44">
              <w:rPr>
                <w:rFonts w:ascii="Times New Roman" w:hAnsi="Times New Roman" w:cs="Times New Roman"/>
              </w:rPr>
              <w:t xml:space="preserve">valdymo ir kontrolės sistema siekiama užtikrinti </w:t>
            </w:r>
            <w:r>
              <w:rPr>
                <w:rFonts w:ascii="Times New Roman" w:hAnsi="Times New Roman" w:cs="Times New Roman"/>
              </w:rPr>
              <w:t>efektyvias</w:t>
            </w:r>
            <w:r w:rsidRPr="00652E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projektų atrankos</w:t>
            </w:r>
            <w:r w:rsidR="00652E44" w:rsidRPr="00652E44">
              <w:rPr>
                <w:rFonts w:ascii="Times New Roman" w:hAnsi="Times New Roman" w:cs="Times New Roman"/>
              </w:rPr>
              <w:t>, valdymo</w:t>
            </w:r>
            <w:r>
              <w:rPr>
                <w:rFonts w:ascii="Times New Roman" w:hAnsi="Times New Roman" w:cs="Times New Roman"/>
              </w:rPr>
              <w:t>, S</w:t>
            </w:r>
            <w:r w:rsidR="00652E44" w:rsidRPr="00652E44">
              <w:rPr>
                <w:rFonts w:ascii="Times New Roman" w:hAnsi="Times New Roman" w:cs="Times New Roman"/>
              </w:rPr>
              <w:t xml:space="preserve">tebėsenos komiteto </w:t>
            </w:r>
            <w:r>
              <w:rPr>
                <w:rFonts w:ascii="Times New Roman" w:hAnsi="Times New Roman" w:cs="Times New Roman"/>
              </w:rPr>
              <w:t>veiklos</w:t>
            </w:r>
            <w:r w:rsidR="00652E44" w:rsidRPr="00652E44">
              <w:rPr>
                <w:rFonts w:ascii="Times New Roman" w:hAnsi="Times New Roman" w:cs="Times New Roman"/>
              </w:rPr>
              <w:t>, apskaitos funkcijos vykdymo ir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2E44" w:rsidRPr="00652E44">
              <w:rPr>
                <w:rFonts w:ascii="Times New Roman" w:hAnsi="Times New Roman" w:cs="Times New Roman"/>
              </w:rPr>
              <w:t>kiekvieno</w:t>
            </w:r>
            <w:r>
              <w:rPr>
                <w:rFonts w:ascii="Times New Roman" w:hAnsi="Times New Roman" w:cs="Times New Roman"/>
              </w:rPr>
              <w:t xml:space="preserve"> projekto </w:t>
            </w:r>
            <w:r w:rsidR="00652E44" w:rsidRPr="00652E44">
              <w:rPr>
                <w:rFonts w:ascii="Times New Roman" w:hAnsi="Times New Roman" w:cs="Times New Roman"/>
              </w:rPr>
              <w:t>duomenų įrašym</w:t>
            </w:r>
            <w:r>
              <w:rPr>
                <w:rFonts w:ascii="Times New Roman" w:hAnsi="Times New Roman" w:cs="Times New Roman"/>
              </w:rPr>
              <w:t>o</w:t>
            </w:r>
            <w:r w:rsidR="00652E44" w:rsidRPr="00652E44">
              <w:rPr>
                <w:rFonts w:ascii="Times New Roman" w:hAnsi="Times New Roman" w:cs="Times New Roman"/>
              </w:rPr>
              <w:t xml:space="preserve"> ir saugojim</w:t>
            </w:r>
            <w:r>
              <w:rPr>
                <w:rFonts w:ascii="Times New Roman" w:hAnsi="Times New Roman" w:cs="Times New Roman"/>
              </w:rPr>
              <w:t>o funkcijas;</w:t>
            </w:r>
          </w:p>
          <w:p w14:paraId="6E9E780F" w14:textId="20F9D296" w:rsidR="00652E44" w:rsidRPr="007C424F" w:rsidRDefault="003C2A46" w:rsidP="003C2A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</w:t>
            </w:r>
            <w:r w:rsidR="00652E44" w:rsidRPr="00652E44">
              <w:rPr>
                <w:rFonts w:ascii="Times New Roman" w:hAnsi="Times New Roman" w:cs="Times New Roman"/>
              </w:rPr>
              <w:t>dministracinė našta yra proporcinga visiems įgyvendinantiems subjektams (</w:t>
            </w:r>
            <w:r>
              <w:rPr>
                <w:rFonts w:ascii="Times New Roman" w:hAnsi="Times New Roman" w:cs="Times New Roman"/>
              </w:rPr>
              <w:t xml:space="preserve">vadovaujančiajai ir tarpinei </w:t>
            </w:r>
            <w:r w:rsidRPr="007C424F">
              <w:rPr>
                <w:rFonts w:ascii="Times New Roman" w:hAnsi="Times New Roman" w:cs="Times New Roman"/>
              </w:rPr>
              <w:t>institucijoms</w:t>
            </w:r>
            <w:r w:rsidR="00652E44" w:rsidRPr="007C424F">
              <w:rPr>
                <w:rFonts w:ascii="Times New Roman" w:hAnsi="Times New Roman" w:cs="Times New Roman"/>
              </w:rPr>
              <w:t xml:space="preserve">), </w:t>
            </w:r>
            <w:r w:rsidR="007C424F" w:rsidRPr="007C424F">
              <w:rPr>
                <w:rFonts w:ascii="Times New Roman" w:hAnsi="Times New Roman" w:cs="Times New Roman"/>
              </w:rPr>
              <w:t xml:space="preserve">pvz., </w:t>
            </w:r>
            <w:r w:rsidR="00652E44" w:rsidRPr="007C424F">
              <w:rPr>
                <w:rFonts w:ascii="Times New Roman" w:hAnsi="Times New Roman" w:cs="Times New Roman"/>
              </w:rPr>
              <w:t>palyginti su ankstesniu programavimo laikotarpiu</w:t>
            </w:r>
            <w:r w:rsidRPr="007C424F">
              <w:rPr>
                <w:rFonts w:ascii="Times New Roman" w:hAnsi="Times New Roman" w:cs="Times New Roman"/>
              </w:rPr>
              <w:t xml:space="preserve"> </w:t>
            </w:r>
            <w:r w:rsidR="00652E44" w:rsidRPr="007C424F">
              <w:rPr>
                <w:rFonts w:ascii="Times New Roman" w:hAnsi="Times New Roman" w:cs="Times New Roman"/>
              </w:rPr>
              <w:t>/ panašioms tikslinėms grupėms siūlomos panašios paslaugos</w:t>
            </w:r>
            <w:r w:rsidRPr="007C424F">
              <w:rPr>
                <w:rFonts w:ascii="Times New Roman" w:hAnsi="Times New Roman" w:cs="Times New Roman"/>
              </w:rPr>
              <w:t xml:space="preserve"> be programos paramos;</w:t>
            </w:r>
          </w:p>
          <w:p w14:paraId="13AC37D1" w14:textId="3B43905F" w:rsidR="00652E44" w:rsidRPr="007C424F" w:rsidRDefault="00652E44" w:rsidP="003C2A46">
            <w:pPr>
              <w:jc w:val="both"/>
              <w:rPr>
                <w:rFonts w:ascii="Times New Roman" w:hAnsi="Times New Roman" w:cs="Times New Roman"/>
              </w:rPr>
            </w:pPr>
            <w:r w:rsidRPr="007C424F">
              <w:rPr>
                <w:rFonts w:ascii="Times New Roman" w:hAnsi="Times New Roman" w:cs="Times New Roman"/>
              </w:rPr>
              <w:t xml:space="preserve">- </w:t>
            </w:r>
            <w:r w:rsidR="003C2A46" w:rsidRPr="007C424F">
              <w:rPr>
                <w:rFonts w:ascii="Times New Roman" w:hAnsi="Times New Roman" w:cs="Times New Roman"/>
              </w:rPr>
              <w:t>a</w:t>
            </w:r>
            <w:r w:rsidRPr="007C424F">
              <w:rPr>
                <w:rFonts w:ascii="Times New Roman" w:hAnsi="Times New Roman" w:cs="Times New Roman"/>
              </w:rPr>
              <w:t xml:space="preserve">dministracinė našta yra proporcinga visiems </w:t>
            </w:r>
            <w:r w:rsidR="003C2A46" w:rsidRPr="007C424F">
              <w:rPr>
                <w:rFonts w:ascii="Times New Roman" w:hAnsi="Times New Roman" w:cs="Times New Roman"/>
              </w:rPr>
              <w:t>projektų vykdytojams</w:t>
            </w:r>
            <w:r w:rsidRPr="007C424F">
              <w:rPr>
                <w:rFonts w:ascii="Times New Roman" w:hAnsi="Times New Roman" w:cs="Times New Roman"/>
              </w:rPr>
              <w:t xml:space="preserve">, </w:t>
            </w:r>
            <w:r w:rsidR="007C424F" w:rsidRPr="007C424F">
              <w:rPr>
                <w:rFonts w:ascii="Times New Roman" w:hAnsi="Times New Roman" w:cs="Times New Roman"/>
              </w:rPr>
              <w:t xml:space="preserve">pvz., </w:t>
            </w:r>
            <w:r w:rsidRPr="007C424F">
              <w:rPr>
                <w:rFonts w:ascii="Times New Roman" w:hAnsi="Times New Roman" w:cs="Times New Roman"/>
              </w:rPr>
              <w:t>palyginti su ankstesniu programavimo laikotarpiu</w:t>
            </w:r>
            <w:r w:rsidR="003C2A46" w:rsidRPr="007C424F">
              <w:rPr>
                <w:rFonts w:ascii="Times New Roman" w:hAnsi="Times New Roman" w:cs="Times New Roman"/>
              </w:rPr>
              <w:t xml:space="preserve"> / </w:t>
            </w:r>
            <w:r w:rsidRPr="007C424F">
              <w:rPr>
                <w:rFonts w:ascii="Times New Roman" w:hAnsi="Times New Roman" w:cs="Times New Roman"/>
              </w:rPr>
              <w:t>panašioms tikslinėms grupėms siūlomos panašios paslaugos be programos paramos</w:t>
            </w:r>
            <w:r w:rsidR="003C2A46" w:rsidRPr="007C424F">
              <w:rPr>
                <w:rFonts w:ascii="Times New Roman" w:hAnsi="Times New Roman" w:cs="Times New Roman"/>
              </w:rPr>
              <w:t>;</w:t>
            </w:r>
          </w:p>
          <w:p w14:paraId="21A4ACDC" w14:textId="737E9D64" w:rsidR="00652E44" w:rsidRPr="007C424F" w:rsidRDefault="003C2A46" w:rsidP="003C2A46">
            <w:pPr>
              <w:jc w:val="both"/>
              <w:rPr>
                <w:rFonts w:ascii="Times New Roman" w:hAnsi="Times New Roman" w:cs="Times New Roman"/>
              </w:rPr>
            </w:pPr>
            <w:r w:rsidRPr="007C424F">
              <w:rPr>
                <w:rFonts w:ascii="Times New Roman" w:hAnsi="Times New Roman" w:cs="Times New Roman"/>
              </w:rPr>
              <w:t>– a</w:t>
            </w:r>
            <w:r w:rsidR="00652E44" w:rsidRPr="007C424F">
              <w:rPr>
                <w:rFonts w:ascii="Times New Roman" w:hAnsi="Times New Roman" w:cs="Times New Roman"/>
              </w:rPr>
              <w:t>dministracinė našta yra proporcinga visiems galutiniams naudo</w:t>
            </w:r>
            <w:r w:rsidRPr="007C424F">
              <w:rPr>
                <w:rFonts w:ascii="Times New Roman" w:hAnsi="Times New Roman" w:cs="Times New Roman"/>
              </w:rPr>
              <w:t>s gavėjams</w:t>
            </w:r>
            <w:r w:rsidR="00652E44" w:rsidRPr="007C424F">
              <w:rPr>
                <w:rFonts w:ascii="Times New Roman" w:hAnsi="Times New Roman" w:cs="Times New Roman"/>
              </w:rPr>
              <w:t>, pvz.</w:t>
            </w:r>
            <w:r w:rsidR="007C424F">
              <w:rPr>
                <w:rFonts w:ascii="Times New Roman" w:hAnsi="Times New Roman" w:cs="Times New Roman"/>
              </w:rPr>
              <w:t>,</w:t>
            </w:r>
            <w:r w:rsidR="00652E44" w:rsidRPr="007C424F">
              <w:rPr>
                <w:rFonts w:ascii="Times New Roman" w:hAnsi="Times New Roman" w:cs="Times New Roman"/>
              </w:rPr>
              <w:t xml:space="preserve"> palyginti su ankstesniu programavimo laikotarpiu</w:t>
            </w:r>
            <w:r w:rsidRPr="007C424F">
              <w:rPr>
                <w:rFonts w:ascii="Times New Roman" w:hAnsi="Times New Roman" w:cs="Times New Roman"/>
              </w:rPr>
              <w:t xml:space="preserve"> </w:t>
            </w:r>
            <w:r w:rsidR="00652E44" w:rsidRPr="007C424F">
              <w:rPr>
                <w:rFonts w:ascii="Times New Roman" w:hAnsi="Times New Roman" w:cs="Times New Roman"/>
              </w:rPr>
              <w:t>/</w:t>
            </w:r>
            <w:r w:rsidRPr="007C424F">
              <w:rPr>
                <w:rFonts w:ascii="Times New Roman" w:hAnsi="Times New Roman" w:cs="Times New Roman"/>
              </w:rPr>
              <w:t xml:space="preserve"> </w:t>
            </w:r>
            <w:r w:rsidR="00652E44" w:rsidRPr="007C424F">
              <w:rPr>
                <w:rFonts w:ascii="Times New Roman" w:hAnsi="Times New Roman" w:cs="Times New Roman"/>
              </w:rPr>
              <w:t>panašioms tikslinėms grupėms siūlomos panašios paslaugos be programos paramos</w:t>
            </w:r>
            <w:r w:rsidRPr="007C424F">
              <w:rPr>
                <w:rFonts w:ascii="Times New Roman" w:hAnsi="Times New Roman" w:cs="Times New Roman"/>
              </w:rPr>
              <w:t>;</w:t>
            </w:r>
          </w:p>
          <w:p w14:paraId="43778536" w14:textId="7FF928CD" w:rsidR="00652E44" w:rsidRPr="00652E44" w:rsidRDefault="0062001B" w:rsidP="003C2A46">
            <w:pPr>
              <w:jc w:val="both"/>
              <w:rPr>
                <w:rFonts w:ascii="Times New Roman" w:hAnsi="Times New Roman" w:cs="Times New Roman"/>
              </w:rPr>
            </w:pPr>
            <w:r w:rsidRPr="007C424F">
              <w:rPr>
                <w:rFonts w:ascii="Times New Roman" w:hAnsi="Times New Roman" w:cs="Times New Roman"/>
              </w:rPr>
              <w:t>- n</w:t>
            </w:r>
            <w:r w:rsidR="00652E44" w:rsidRPr="007C424F">
              <w:rPr>
                <w:rFonts w:ascii="Times New Roman" w:hAnsi="Times New Roman" w:cs="Times New Roman"/>
              </w:rPr>
              <w:t xml:space="preserve">acionaliniu lygmeniu </w:t>
            </w:r>
            <w:r w:rsidR="00652E44" w:rsidRPr="00652E44">
              <w:rPr>
                <w:rFonts w:ascii="Times New Roman" w:hAnsi="Times New Roman" w:cs="Times New Roman"/>
              </w:rPr>
              <w:t xml:space="preserve">nėra </w:t>
            </w:r>
            <w:r>
              <w:rPr>
                <w:rFonts w:ascii="Times New Roman" w:hAnsi="Times New Roman" w:cs="Times New Roman"/>
              </w:rPr>
              <w:t>perteklinių reikalavimų</w:t>
            </w:r>
            <w:r w:rsidR="00652E44" w:rsidRPr="00652E44">
              <w:rPr>
                <w:rFonts w:ascii="Times New Roman" w:hAnsi="Times New Roman" w:cs="Times New Roman"/>
              </w:rPr>
              <w:t xml:space="preserve"> (pvz., iš vadovaujanči</w:t>
            </w:r>
            <w:r w:rsidR="003C2A46">
              <w:rPr>
                <w:rFonts w:ascii="Times New Roman" w:hAnsi="Times New Roman" w:cs="Times New Roman"/>
              </w:rPr>
              <w:t xml:space="preserve">osios, tarpinės ir (ar) audito </w:t>
            </w:r>
            <w:r w:rsidR="00652E44" w:rsidRPr="00652E44">
              <w:rPr>
                <w:rFonts w:ascii="Times New Roman" w:hAnsi="Times New Roman" w:cs="Times New Roman"/>
              </w:rPr>
              <w:t xml:space="preserve">institucijų), t. y. reikalavimai nėra aiškinami </w:t>
            </w:r>
            <w:r>
              <w:rPr>
                <w:rFonts w:ascii="Times New Roman" w:hAnsi="Times New Roman" w:cs="Times New Roman"/>
              </w:rPr>
              <w:t>griežčiau</w:t>
            </w:r>
            <w:r w:rsidR="00652E44" w:rsidRPr="00652E44">
              <w:rPr>
                <w:rFonts w:ascii="Times New Roman" w:hAnsi="Times New Roman" w:cs="Times New Roman"/>
              </w:rPr>
              <w:t xml:space="preserve"> nei </w:t>
            </w:r>
            <w:r>
              <w:rPr>
                <w:rFonts w:ascii="Times New Roman" w:hAnsi="Times New Roman" w:cs="Times New Roman"/>
              </w:rPr>
              <w:t xml:space="preserve">nustatyta </w:t>
            </w:r>
            <w:r w:rsidR="00652E44" w:rsidRPr="00652E44">
              <w:rPr>
                <w:rFonts w:ascii="Times New Roman" w:hAnsi="Times New Roman" w:cs="Times New Roman"/>
              </w:rPr>
              <w:t>teisin</w:t>
            </w:r>
            <w:r>
              <w:rPr>
                <w:rFonts w:ascii="Times New Roman" w:hAnsi="Times New Roman" w:cs="Times New Roman"/>
              </w:rPr>
              <w:t>ėje</w:t>
            </w:r>
            <w:r w:rsidR="00652E44" w:rsidRPr="00652E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bazėje</w:t>
            </w:r>
            <w:r w:rsidR="00652E44" w:rsidRPr="00652E44">
              <w:rPr>
                <w:rFonts w:ascii="Times New Roman" w:hAnsi="Times New Roman" w:cs="Times New Roman"/>
              </w:rPr>
              <w:t xml:space="preserve"> ar </w:t>
            </w:r>
            <w:r>
              <w:rPr>
                <w:rFonts w:ascii="Times New Roman" w:hAnsi="Times New Roman" w:cs="Times New Roman"/>
              </w:rPr>
              <w:t xml:space="preserve">atitinkamuose </w:t>
            </w:r>
            <w:r w:rsidR="00652E44" w:rsidRPr="00652E44">
              <w:rPr>
                <w:rFonts w:ascii="Times New Roman" w:hAnsi="Times New Roman" w:cs="Times New Roman"/>
              </w:rPr>
              <w:t>metodiniu</w:t>
            </w:r>
            <w:r>
              <w:rPr>
                <w:rFonts w:ascii="Times New Roman" w:hAnsi="Times New Roman" w:cs="Times New Roman"/>
              </w:rPr>
              <w:t>o</w:t>
            </w:r>
            <w:r w:rsidR="00652E44" w:rsidRPr="00652E4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</w:t>
            </w:r>
            <w:r w:rsidR="00652E44" w:rsidRPr="00652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išaiškinimuose</w:t>
            </w:r>
            <w:proofErr w:type="spellEnd"/>
            <w:r>
              <w:rPr>
                <w:rFonts w:ascii="Times New Roman" w:hAnsi="Times New Roman" w:cs="Times New Roman"/>
              </w:rPr>
              <w:t xml:space="preserve"> valstybėms narėms, išskyrus atvejus, kai yra pateisinamos priežasty</w:t>
            </w:r>
            <w:r w:rsidR="00652E44" w:rsidRPr="00652E4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BBF743F" w14:textId="264ECE0B" w:rsidR="00652E44" w:rsidRPr="00652E44" w:rsidRDefault="00652E44" w:rsidP="003C2A46">
            <w:pPr>
              <w:jc w:val="both"/>
              <w:rPr>
                <w:rFonts w:ascii="Times New Roman" w:hAnsi="Times New Roman" w:cs="Times New Roman"/>
              </w:rPr>
            </w:pPr>
            <w:r w:rsidRPr="00652E44">
              <w:rPr>
                <w:rFonts w:ascii="Times New Roman" w:hAnsi="Times New Roman" w:cs="Times New Roman"/>
              </w:rPr>
              <w:t xml:space="preserve">- ES lygmeniu nėra </w:t>
            </w:r>
            <w:r w:rsidR="0062001B" w:rsidRPr="0062001B">
              <w:rPr>
                <w:rFonts w:ascii="Times New Roman" w:hAnsi="Times New Roman" w:cs="Times New Roman"/>
              </w:rPr>
              <w:t>perteklinių reikalavimų</w:t>
            </w:r>
            <w:r w:rsidRPr="00652E44">
              <w:rPr>
                <w:rFonts w:ascii="Times New Roman" w:hAnsi="Times New Roman" w:cs="Times New Roman"/>
              </w:rPr>
              <w:t xml:space="preserve">, t. y. reikalavimai nėra aiškinami </w:t>
            </w:r>
            <w:r w:rsidR="0062001B" w:rsidRPr="0062001B">
              <w:rPr>
                <w:rFonts w:ascii="Times New Roman" w:hAnsi="Times New Roman" w:cs="Times New Roman"/>
              </w:rPr>
              <w:t xml:space="preserve">griežčiau </w:t>
            </w:r>
            <w:r w:rsidRPr="00652E44">
              <w:rPr>
                <w:rFonts w:ascii="Times New Roman" w:hAnsi="Times New Roman" w:cs="Times New Roman"/>
              </w:rPr>
              <w:t>nei</w:t>
            </w:r>
            <w:r w:rsidR="0062001B">
              <w:rPr>
                <w:rFonts w:ascii="Times New Roman" w:hAnsi="Times New Roman" w:cs="Times New Roman"/>
              </w:rPr>
              <w:t xml:space="preserve"> </w:t>
            </w:r>
            <w:r w:rsidR="0062001B" w:rsidRPr="0062001B">
              <w:rPr>
                <w:rFonts w:ascii="Times New Roman" w:hAnsi="Times New Roman" w:cs="Times New Roman"/>
              </w:rPr>
              <w:t>nustatyta teisinėje bazėje</w:t>
            </w:r>
            <w:r w:rsidR="006300F5" w:rsidRPr="006300F5">
              <w:rPr>
                <w:rFonts w:ascii="Times New Roman" w:hAnsi="Times New Roman" w:cs="Times New Roman"/>
              </w:rPr>
              <w:t>, išskyrus atvejus, kai yra pateisinamos priežastys;</w:t>
            </w:r>
          </w:p>
          <w:p w14:paraId="7ADB86D9" w14:textId="0AEC2D71" w:rsidR="00652E44" w:rsidRPr="00652E44" w:rsidRDefault="00652E44" w:rsidP="003C2A46">
            <w:pPr>
              <w:jc w:val="both"/>
              <w:rPr>
                <w:rFonts w:ascii="Times New Roman" w:hAnsi="Times New Roman" w:cs="Times New Roman"/>
              </w:rPr>
            </w:pPr>
            <w:r w:rsidRPr="00652E44">
              <w:rPr>
                <w:rFonts w:ascii="Times New Roman" w:hAnsi="Times New Roman" w:cs="Times New Roman"/>
              </w:rPr>
              <w:t xml:space="preserve">- </w:t>
            </w:r>
            <w:r w:rsidR="006300F5">
              <w:rPr>
                <w:rFonts w:ascii="Times New Roman" w:hAnsi="Times New Roman" w:cs="Times New Roman"/>
              </w:rPr>
              <w:t>naudojamos supaprastintai apmokamų išlaidų galimybės;</w:t>
            </w:r>
          </w:p>
          <w:p w14:paraId="52D13DAC" w14:textId="67B15A07" w:rsidR="00652E44" w:rsidRPr="00652E44" w:rsidRDefault="006300F5" w:rsidP="003C2A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="00652E44" w:rsidRPr="00652E44">
              <w:rPr>
                <w:rFonts w:ascii="Times New Roman" w:hAnsi="Times New Roman" w:cs="Times New Roman"/>
              </w:rPr>
              <w:t>rireikus valdymo ir kontrolės sistemai stiprinti naudojama techninė pagalba</w:t>
            </w:r>
            <w:r w:rsidR="001B7AF9">
              <w:rPr>
                <w:rFonts w:ascii="Times New Roman" w:hAnsi="Times New Roman" w:cs="Times New Roman"/>
              </w:rPr>
              <w:t>;</w:t>
            </w:r>
          </w:p>
          <w:p w14:paraId="4F3B24CC" w14:textId="2068225B" w:rsidR="00605A55" w:rsidRPr="002F48CD" w:rsidRDefault="006300F5" w:rsidP="003C2A46">
            <w:pPr>
              <w:jc w:val="both"/>
              <w:rPr>
                <w:rFonts w:ascii="Times New Roman" w:hAnsi="Times New Roman" w:cs="Times New Roman"/>
              </w:rPr>
            </w:pPr>
            <w:r w:rsidRPr="00605A55">
              <w:rPr>
                <w:rFonts w:ascii="Times New Roman" w:hAnsi="Times New Roman" w:cs="Times New Roman"/>
              </w:rPr>
              <w:t>-…</w:t>
            </w:r>
          </w:p>
        </w:tc>
      </w:tr>
      <w:tr w:rsidR="00605A55" w:rsidRPr="002F48CD" w14:paraId="7BFE04CD" w14:textId="77777777" w:rsidTr="00B771E2">
        <w:tc>
          <w:tcPr>
            <w:tcW w:w="1646" w:type="dxa"/>
            <w:vMerge/>
            <w:shd w:val="clear" w:color="auto" w:fill="F2F2F2" w:themeFill="background1" w:themeFillShade="F2"/>
          </w:tcPr>
          <w:p w14:paraId="0BBA67B6" w14:textId="03FAF19D" w:rsidR="00605A55" w:rsidRPr="002F48CD" w:rsidRDefault="00605A55" w:rsidP="0086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14:paraId="6A722EB6" w14:textId="3DA75788" w:rsidR="00F1535F" w:rsidRPr="00F1535F" w:rsidRDefault="00F1535F" w:rsidP="00F1535F">
            <w:pPr>
              <w:rPr>
                <w:rFonts w:ascii="Times New Roman" w:hAnsi="Times New Roman" w:cs="Times New Roman"/>
              </w:rPr>
            </w:pPr>
            <w:r w:rsidRPr="00F1535F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 xml:space="preserve">okie </w:t>
            </w:r>
            <w:r w:rsidRPr="00F1535F">
              <w:rPr>
                <w:rFonts w:ascii="Times New Roman" w:hAnsi="Times New Roman" w:cs="Times New Roman"/>
              </w:rPr>
              <w:t>įmanom</w:t>
            </w:r>
            <w:r>
              <w:rPr>
                <w:rFonts w:ascii="Times New Roman" w:hAnsi="Times New Roman" w:cs="Times New Roman"/>
              </w:rPr>
              <w:t xml:space="preserve">i tolimesni / papildomi </w:t>
            </w:r>
            <w:r w:rsidRPr="00F1535F">
              <w:rPr>
                <w:rFonts w:ascii="Times New Roman" w:hAnsi="Times New Roman" w:cs="Times New Roman"/>
              </w:rPr>
              <w:t>supaprastin</w:t>
            </w:r>
            <w:r>
              <w:rPr>
                <w:rFonts w:ascii="Times New Roman" w:hAnsi="Times New Roman" w:cs="Times New Roman"/>
              </w:rPr>
              <w:t>imai</w:t>
            </w:r>
            <w:r w:rsidR="00411A6C">
              <w:rPr>
                <w:rFonts w:ascii="Times New Roman" w:hAnsi="Times New Roman" w:cs="Times New Roman"/>
              </w:rPr>
              <w:t xml:space="preserve"> / palengvinimai</w:t>
            </w:r>
            <w:r w:rsidRPr="00F1535F">
              <w:rPr>
                <w:rFonts w:ascii="Times New Roman" w:hAnsi="Times New Roman" w:cs="Times New Roman"/>
              </w:rPr>
              <w:t>?</w:t>
            </w:r>
          </w:p>
          <w:p w14:paraId="092978C1" w14:textId="77777777" w:rsidR="00605A55" w:rsidRPr="002F48CD" w:rsidRDefault="00605A55" w:rsidP="00F15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1" w:type="dxa"/>
          </w:tcPr>
          <w:p w14:paraId="23B55EA0" w14:textId="2AEA6A88" w:rsidR="00F1535F" w:rsidRPr="00F1535F" w:rsidRDefault="00562D8D" w:rsidP="00B7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</w:t>
            </w:r>
            <w:r w:rsidR="00F1535F" w:rsidRPr="00F1535F">
              <w:rPr>
                <w:rFonts w:ascii="Times New Roman" w:hAnsi="Times New Roman" w:cs="Times New Roman"/>
              </w:rPr>
              <w:t xml:space="preserve">ra įrodymų, kad teisiniai reikalavimai, </w:t>
            </w:r>
            <w:r w:rsidRPr="00F1535F">
              <w:rPr>
                <w:rFonts w:ascii="Times New Roman" w:hAnsi="Times New Roman" w:cs="Times New Roman"/>
              </w:rPr>
              <w:t>taisyklės</w:t>
            </w:r>
            <w:r>
              <w:rPr>
                <w:rFonts w:ascii="Times New Roman" w:hAnsi="Times New Roman" w:cs="Times New Roman"/>
              </w:rPr>
              <w:t>e nustatytos</w:t>
            </w:r>
            <w:r w:rsidRPr="00F1535F">
              <w:rPr>
                <w:rFonts w:ascii="Times New Roman" w:hAnsi="Times New Roman" w:cs="Times New Roman"/>
              </w:rPr>
              <w:t xml:space="preserve"> </w:t>
            </w:r>
            <w:r w:rsidR="00F1535F" w:rsidRPr="00F1535F">
              <w:rPr>
                <w:rFonts w:ascii="Times New Roman" w:hAnsi="Times New Roman" w:cs="Times New Roman"/>
              </w:rPr>
              <w:t>procedūr</w:t>
            </w:r>
            <w:r>
              <w:rPr>
                <w:rFonts w:ascii="Times New Roman" w:hAnsi="Times New Roman" w:cs="Times New Roman"/>
              </w:rPr>
              <w:t>os</w:t>
            </w:r>
            <w:r w:rsidR="00F1535F" w:rsidRPr="00F1535F">
              <w:rPr>
                <w:rFonts w:ascii="Times New Roman" w:hAnsi="Times New Roman" w:cs="Times New Roman"/>
              </w:rPr>
              <w:t xml:space="preserve"> ar praktika sukuria </w:t>
            </w:r>
            <w:r>
              <w:rPr>
                <w:rFonts w:ascii="Times New Roman" w:hAnsi="Times New Roman" w:cs="Times New Roman"/>
              </w:rPr>
              <w:t>n</w:t>
            </w:r>
            <w:r w:rsidR="00F1535F" w:rsidRPr="00F1535F">
              <w:rPr>
                <w:rFonts w:ascii="Times New Roman" w:hAnsi="Times New Roman" w:cs="Times New Roman"/>
              </w:rPr>
              <w:t>eproporcingą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535F" w:rsidRPr="00F1535F">
              <w:rPr>
                <w:rFonts w:ascii="Times New Roman" w:hAnsi="Times New Roman" w:cs="Times New Roman"/>
              </w:rPr>
              <w:t>administracin</w:t>
            </w:r>
            <w:r>
              <w:rPr>
                <w:rFonts w:ascii="Times New Roman" w:hAnsi="Times New Roman" w:cs="Times New Roman"/>
              </w:rPr>
              <w:t>ę</w:t>
            </w:r>
            <w:r w:rsidR="00F1535F" w:rsidRPr="00F1535F">
              <w:rPr>
                <w:rFonts w:ascii="Times New Roman" w:hAnsi="Times New Roman" w:cs="Times New Roman"/>
              </w:rPr>
              <w:t xml:space="preserve"> našt</w:t>
            </w:r>
            <w:r>
              <w:rPr>
                <w:rFonts w:ascii="Times New Roman" w:hAnsi="Times New Roman" w:cs="Times New Roman"/>
              </w:rPr>
              <w:t>ą</w:t>
            </w:r>
            <w:r w:rsidR="00F1535F" w:rsidRPr="00F1535F">
              <w:rPr>
                <w:rFonts w:ascii="Times New Roman" w:hAnsi="Times New Roman" w:cs="Times New Roman"/>
              </w:rPr>
              <w:t xml:space="preserve"> ES ar valstybių narių lygmeniu, ir yra konkrečių alternatyvų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FFBEF9F" w14:textId="55539294" w:rsidR="00F1535F" w:rsidRPr="00F1535F" w:rsidRDefault="00562D8D" w:rsidP="00B7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</w:t>
            </w:r>
            <w:r w:rsidR="00F1535F" w:rsidRPr="00F1535F">
              <w:rPr>
                <w:rFonts w:ascii="Times New Roman" w:hAnsi="Times New Roman" w:cs="Times New Roman"/>
              </w:rPr>
              <w:t>ra galimybė p</w:t>
            </w:r>
            <w:r>
              <w:rPr>
                <w:rFonts w:ascii="Times New Roman" w:hAnsi="Times New Roman" w:cs="Times New Roman"/>
              </w:rPr>
              <w:t>apildomai naudoti supaprastintai apmokamų</w:t>
            </w:r>
            <w:r w:rsidR="00F1535F" w:rsidRPr="00F1535F">
              <w:rPr>
                <w:rFonts w:ascii="Times New Roman" w:hAnsi="Times New Roman" w:cs="Times New Roman"/>
              </w:rPr>
              <w:t xml:space="preserve"> išlaidų galimybes ir finansavimą, nesusietą su </w:t>
            </w:r>
            <w:r>
              <w:rPr>
                <w:rFonts w:ascii="Times New Roman" w:hAnsi="Times New Roman" w:cs="Times New Roman"/>
              </w:rPr>
              <w:t>išlaidomis;</w:t>
            </w:r>
          </w:p>
          <w:p w14:paraId="3A8B15E6" w14:textId="23EA9755" w:rsidR="00F1535F" w:rsidRPr="00F1535F" w:rsidRDefault="00562D8D" w:rsidP="00B7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</w:t>
            </w:r>
            <w:r w:rsidR="00F1535F" w:rsidRPr="00F1535F">
              <w:rPr>
                <w:rFonts w:ascii="Times New Roman" w:hAnsi="Times New Roman" w:cs="Times New Roman"/>
              </w:rPr>
              <w:t xml:space="preserve">ra įrodymų, kad </w:t>
            </w:r>
            <w:r>
              <w:rPr>
                <w:rFonts w:ascii="Times New Roman" w:hAnsi="Times New Roman" w:cs="Times New Roman"/>
              </w:rPr>
              <w:t xml:space="preserve">trūksta koordinavimo tarp </w:t>
            </w:r>
            <w:r w:rsidR="00F1535F" w:rsidRPr="00F1535F">
              <w:rPr>
                <w:rFonts w:ascii="Times New Roman" w:hAnsi="Times New Roman" w:cs="Times New Roman"/>
              </w:rPr>
              <w:t>programos įgyvendinime dalyvaujan</w:t>
            </w:r>
            <w:r>
              <w:rPr>
                <w:rFonts w:ascii="Times New Roman" w:hAnsi="Times New Roman" w:cs="Times New Roman"/>
              </w:rPr>
              <w:t>čių</w:t>
            </w:r>
            <w:r w:rsidR="00F1535F" w:rsidRPr="00F1535F">
              <w:rPr>
                <w:rFonts w:ascii="Times New Roman" w:hAnsi="Times New Roman" w:cs="Times New Roman"/>
              </w:rPr>
              <w:t xml:space="preserve"> subjekt</w:t>
            </w:r>
            <w:r>
              <w:rPr>
                <w:rFonts w:ascii="Times New Roman" w:hAnsi="Times New Roman" w:cs="Times New Roman"/>
              </w:rPr>
              <w:t>ų</w:t>
            </w:r>
            <w:r w:rsidR="00F1535F" w:rsidRPr="00F153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535F" w:rsidRPr="00F1535F">
              <w:rPr>
                <w:rFonts w:ascii="Times New Roman" w:hAnsi="Times New Roman" w:cs="Times New Roman"/>
              </w:rPr>
              <w:t>dėl ko atsiranda pvz.</w:t>
            </w:r>
            <w:r>
              <w:rPr>
                <w:rFonts w:ascii="Times New Roman" w:hAnsi="Times New Roman" w:cs="Times New Roman"/>
              </w:rPr>
              <w:t>,</w:t>
            </w:r>
            <w:r w:rsidR="00F1535F" w:rsidRPr="00F1535F">
              <w:rPr>
                <w:rFonts w:ascii="Times New Roman" w:hAnsi="Times New Roman" w:cs="Times New Roman"/>
              </w:rPr>
              <w:t xml:space="preserve"> nuoseklumo stoka, padidėjusi administracinė našta ir kt.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4D3D985" w14:textId="3E17A660" w:rsidR="00F1535F" w:rsidRPr="00F1535F" w:rsidRDefault="00562D8D" w:rsidP="00B7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</w:t>
            </w:r>
            <w:r w:rsidR="00F1535F" w:rsidRPr="00F1535F">
              <w:rPr>
                <w:rFonts w:ascii="Times New Roman" w:hAnsi="Times New Roman" w:cs="Times New Roman"/>
              </w:rPr>
              <w:t>ra problemų, susijusių su elektroninėmis duomenų mainų sistemomis, dėl kurių atsiranda vėlavimų ir kurias galima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="00F1535F" w:rsidRPr="00F1535F">
              <w:rPr>
                <w:rFonts w:ascii="Times New Roman" w:hAnsi="Times New Roman" w:cs="Times New Roman"/>
              </w:rPr>
              <w:t xml:space="preserve"> reikia spręsti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70A2A1B" w14:textId="4E4C894D" w:rsidR="00605A55" w:rsidRPr="002F48CD" w:rsidRDefault="00F1535F" w:rsidP="00B771E2">
            <w:pPr>
              <w:jc w:val="both"/>
              <w:rPr>
                <w:rFonts w:ascii="Times New Roman" w:hAnsi="Times New Roman" w:cs="Times New Roman"/>
              </w:rPr>
            </w:pPr>
            <w:r w:rsidRPr="00F1535F">
              <w:rPr>
                <w:rFonts w:ascii="Times New Roman" w:hAnsi="Times New Roman" w:cs="Times New Roman"/>
              </w:rPr>
              <w:t>-…</w:t>
            </w:r>
          </w:p>
        </w:tc>
      </w:tr>
      <w:tr w:rsidR="002D7A53" w:rsidRPr="002F48CD" w14:paraId="58A5AE87" w14:textId="77777777" w:rsidTr="00B771E2">
        <w:tc>
          <w:tcPr>
            <w:tcW w:w="1646" w:type="dxa"/>
            <w:vMerge w:val="restart"/>
            <w:shd w:val="clear" w:color="auto" w:fill="F2F2F2" w:themeFill="background1" w:themeFillShade="F2"/>
          </w:tcPr>
          <w:p w14:paraId="5B0B391D" w14:textId="77777777" w:rsidR="002D7A53" w:rsidRPr="002F48CD" w:rsidRDefault="002D7A53" w:rsidP="008641E2">
            <w:pPr>
              <w:rPr>
                <w:rFonts w:ascii="Times New Roman" w:hAnsi="Times New Roman" w:cs="Times New Roman"/>
              </w:rPr>
            </w:pPr>
            <w:r w:rsidRPr="002F48CD">
              <w:rPr>
                <w:rFonts w:ascii="Times New Roman" w:hAnsi="Times New Roman" w:cs="Times New Roman"/>
              </w:rPr>
              <w:t>Suderinamumas (</w:t>
            </w:r>
            <w:proofErr w:type="spellStart"/>
            <w:r w:rsidRPr="002D7A53">
              <w:rPr>
                <w:rFonts w:ascii="Times New Roman" w:hAnsi="Times New Roman" w:cs="Times New Roman"/>
                <w:i/>
              </w:rPr>
              <w:t>coherence</w:t>
            </w:r>
            <w:proofErr w:type="spellEnd"/>
            <w:r w:rsidRPr="002F48CD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3227" w:type="dxa"/>
          </w:tcPr>
          <w:p w14:paraId="4ADB1A46" w14:textId="7F797D3B" w:rsidR="002D7A53" w:rsidRPr="002D7A53" w:rsidRDefault="002D7A53" w:rsidP="002D7A53">
            <w:pPr>
              <w:rPr>
                <w:rFonts w:ascii="Times New Roman" w:hAnsi="Times New Roman" w:cs="Times New Roman"/>
              </w:rPr>
            </w:pPr>
            <w:r w:rsidRPr="002D7A53">
              <w:rPr>
                <w:rFonts w:ascii="Times New Roman" w:hAnsi="Times New Roman" w:cs="Times New Roman"/>
              </w:rPr>
              <w:t xml:space="preserve">Kokiu mastu </w:t>
            </w:r>
          </w:p>
          <w:p w14:paraId="528BD794" w14:textId="3C56CB9E" w:rsidR="002D7A53" w:rsidRPr="002D7A53" w:rsidRDefault="002D7A53" w:rsidP="002D7A53">
            <w:pPr>
              <w:rPr>
                <w:rFonts w:ascii="Times New Roman" w:hAnsi="Times New Roman" w:cs="Times New Roman"/>
              </w:rPr>
            </w:pPr>
            <w:r w:rsidRPr="002D7A53">
              <w:rPr>
                <w:rFonts w:ascii="Times New Roman" w:hAnsi="Times New Roman" w:cs="Times New Roman"/>
              </w:rPr>
              <w:t>programa yra suderinama su</w:t>
            </w:r>
          </w:p>
          <w:p w14:paraId="2331862B" w14:textId="6E78CE1E" w:rsidR="002D7A53" w:rsidRPr="002D7A53" w:rsidRDefault="002D7A53" w:rsidP="002D7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kitomis </w:t>
            </w:r>
            <w:r w:rsidRPr="002D7A53">
              <w:rPr>
                <w:rFonts w:ascii="Times New Roman" w:hAnsi="Times New Roman" w:cs="Times New Roman"/>
              </w:rPr>
              <w:t>iniciatyvo</w:t>
            </w:r>
            <w:r w:rsidR="00915827">
              <w:rPr>
                <w:rFonts w:ascii="Times New Roman" w:hAnsi="Times New Roman" w:cs="Times New Roman"/>
              </w:rPr>
              <w:t>mi</w:t>
            </w:r>
            <w:r w:rsidRPr="002D7A53">
              <w:rPr>
                <w:rFonts w:ascii="Times New Roman" w:hAnsi="Times New Roman" w:cs="Times New Roman"/>
              </w:rPr>
              <w:t>s</w:t>
            </w:r>
            <w:r w:rsidR="00915827">
              <w:rPr>
                <w:rFonts w:ascii="Times New Roman" w:hAnsi="Times New Roman" w:cs="Times New Roman"/>
              </w:rPr>
              <w:t>, kurios</w:t>
            </w:r>
            <w:r w:rsidRPr="002D7A53">
              <w:rPr>
                <w:rFonts w:ascii="Times New Roman" w:hAnsi="Times New Roman" w:cs="Times New Roman"/>
              </w:rPr>
              <w:t xml:space="preserve"> remiamos</w:t>
            </w:r>
            <w:r w:rsidR="00915827">
              <w:rPr>
                <w:rFonts w:ascii="Times New Roman" w:hAnsi="Times New Roman" w:cs="Times New Roman"/>
              </w:rPr>
              <w:t xml:space="preserve"> </w:t>
            </w:r>
            <w:r w:rsidRPr="002D7A53">
              <w:rPr>
                <w:rFonts w:ascii="Times New Roman" w:hAnsi="Times New Roman" w:cs="Times New Roman"/>
              </w:rPr>
              <w:t xml:space="preserve">pagal </w:t>
            </w:r>
            <w:r w:rsidR="00915827">
              <w:rPr>
                <w:rFonts w:ascii="Times New Roman" w:hAnsi="Times New Roman" w:cs="Times New Roman"/>
              </w:rPr>
              <w:t xml:space="preserve">šią </w:t>
            </w:r>
            <w:r w:rsidRPr="002D7A53">
              <w:rPr>
                <w:rFonts w:ascii="Times New Roman" w:hAnsi="Times New Roman" w:cs="Times New Roman"/>
              </w:rPr>
              <w:t>politikos sritį,</w:t>
            </w:r>
          </w:p>
          <w:p w14:paraId="3DF4E8AD" w14:textId="77777777" w:rsidR="002D7A53" w:rsidRPr="002D7A53" w:rsidRDefault="002D7A53" w:rsidP="002D7A53">
            <w:pPr>
              <w:rPr>
                <w:rFonts w:ascii="Times New Roman" w:hAnsi="Times New Roman" w:cs="Times New Roman"/>
              </w:rPr>
            </w:pPr>
            <w:r w:rsidRPr="002D7A53">
              <w:rPr>
                <w:rFonts w:ascii="Times New Roman" w:hAnsi="Times New Roman" w:cs="Times New Roman"/>
              </w:rPr>
              <w:t>ypač su parama</w:t>
            </w:r>
          </w:p>
          <w:p w14:paraId="589AE520" w14:textId="09246B14" w:rsidR="002D7A53" w:rsidRPr="002F48CD" w:rsidRDefault="00915827" w:rsidP="0091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teminę priemonę skirtinguose valdymo mechanizmuose</w:t>
            </w:r>
            <w:r w:rsidR="002D7A53" w:rsidRPr="002D7A5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581" w:type="dxa"/>
          </w:tcPr>
          <w:p w14:paraId="5CEB0888" w14:textId="42FD94F9" w:rsidR="00915827" w:rsidRDefault="002D7A53" w:rsidP="00B771E2">
            <w:pPr>
              <w:jc w:val="both"/>
              <w:rPr>
                <w:rFonts w:ascii="Times New Roman" w:hAnsi="Times New Roman" w:cs="Times New Roman"/>
              </w:rPr>
            </w:pPr>
            <w:r w:rsidRPr="002D7A53">
              <w:rPr>
                <w:rFonts w:ascii="Times New Roman" w:hAnsi="Times New Roman" w:cs="Times New Roman"/>
              </w:rPr>
              <w:lastRenderedPageBreak/>
              <w:t>– yra sukurtos struktūros, organizaciniai susitarimai ar koordinavimo mechanizmai, užtikrinantys koordinavimą,</w:t>
            </w:r>
            <w:r w:rsidR="00915827">
              <w:rPr>
                <w:rFonts w:ascii="Times New Roman" w:hAnsi="Times New Roman" w:cs="Times New Roman"/>
              </w:rPr>
              <w:t xml:space="preserve"> </w:t>
            </w:r>
            <w:r w:rsidRPr="002D7A53">
              <w:rPr>
                <w:rFonts w:ascii="Times New Roman" w:hAnsi="Times New Roman" w:cs="Times New Roman"/>
              </w:rPr>
              <w:t xml:space="preserve">skirtingų valdymo </w:t>
            </w:r>
            <w:r w:rsidR="00915827">
              <w:rPr>
                <w:rFonts w:ascii="Times New Roman" w:hAnsi="Times New Roman" w:cs="Times New Roman"/>
              </w:rPr>
              <w:t>mechanizmų</w:t>
            </w:r>
            <w:r w:rsidRPr="002D7A53">
              <w:rPr>
                <w:rFonts w:ascii="Times New Roman" w:hAnsi="Times New Roman" w:cs="Times New Roman"/>
              </w:rPr>
              <w:t xml:space="preserve"> papildomumą ir, jei reikia, sinergiją</w:t>
            </w:r>
            <w:r w:rsidR="00915827">
              <w:rPr>
                <w:rFonts w:ascii="Times New Roman" w:hAnsi="Times New Roman" w:cs="Times New Roman"/>
              </w:rPr>
              <w:t>;</w:t>
            </w:r>
          </w:p>
          <w:p w14:paraId="1DE708C9" w14:textId="1DFAC1F9" w:rsidR="002D7A53" w:rsidRPr="002D7A53" w:rsidRDefault="00915827" w:rsidP="00B7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k</w:t>
            </w:r>
            <w:r w:rsidR="002D7A53" w:rsidRPr="002D7A53">
              <w:rPr>
                <w:rFonts w:ascii="Times New Roman" w:hAnsi="Times New Roman" w:cs="Times New Roman"/>
              </w:rPr>
              <w:t>oordinavimo mechanizmai ir susitarimai naudojami reguliariai ir sėkmingai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AE4CC40" w14:textId="69BCA1D1" w:rsidR="002D7A53" w:rsidRPr="002D7A53" w:rsidRDefault="0063337D" w:rsidP="00B7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</w:t>
            </w:r>
            <w:r w:rsidR="002D7A53" w:rsidRPr="002D7A53">
              <w:rPr>
                <w:rFonts w:ascii="Times New Roman" w:hAnsi="Times New Roman" w:cs="Times New Roman"/>
              </w:rPr>
              <w:t xml:space="preserve">ariamas sutapimas </w:t>
            </w:r>
            <w:r>
              <w:rPr>
                <w:rFonts w:ascii="Times New Roman" w:hAnsi="Times New Roman" w:cs="Times New Roman"/>
              </w:rPr>
              <w:t>yra</w:t>
            </w:r>
            <w:r w:rsidR="002D7A53" w:rsidRPr="002D7A53">
              <w:rPr>
                <w:rFonts w:ascii="Times New Roman" w:hAnsi="Times New Roman" w:cs="Times New Roman"/>
              </w:rPr>
              <w:t xml:space="preserve"> pateisinamas objektyviomis priežastimis (pvz., ta pati tikslinė grupė, bet kitokio tipo priemonė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7A53" w:rsidRPr="002D7A5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skirtingi poreikiai</w:t>
            </w:r>
            <w:r w:rsidR="002D7A53" w:rsidRPr="002D7A53">
              <w:rPr>
                <w:rFonts w:ascii="Times New Roman" w:hAnsi="Times New Roman" w:cs="Times New Roman"/>
              </w:rPr>
              <w:t xml:space="preserve"> / skirtingas </w:t>
            </w:r>
            <w:r w:rsidRPr="002D7A53">
              <w:rPr>
                <w:rFonts w:ascii="Times New Roman" w:hAnsi="Times New Roman" w:cs="Times New Roman"/>
              </w:rPr>
              <w:t xml:space="preserve">pasirengimas </w:t>
            </w:r>
            <w:r w:rsidR="007E71C4">
              <w:rPr>
                <w:rFonts w:ascii="Times New Roman" w:hAnsi="Times New Roman" w:cs="Times New Roman"/>
              </w:rPr>
              <w:t>pasirinktai finansavimo paramos rūšiai</w:t>
            </w:r>
            <w:r w:rsidR="002D7A53" w:rsidRPr="002D7A53">
              <w:rPr>
                <w:rFonts w:ascii="Times New Roman" w:hAnsi="Times New Roman" w:cs="Times New Roman"/>
              </w:rPr>
              <w:t>)</w:t>
            </w:r>
            <w:r w:rsidR="00D03181">
              <w:rPr>
                <w:rFonts w:ascii="Times New Roman" w:hAnsi="Times New Roman" w:cs="Times New Roman"/>
              </w:rPr>
              <w:t>;</w:t>
            </w:r>
          </w:p>
          <w:p w14:paraId="167CAAEA" w14:textId="0B3E2275" w:rsidR="002D7A53" w:rsidRPr="002D7A53" w:rsidRDefault="00D03181" w:rsidP="00B7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="002D7A53" w:rsidRPr="002D7A53">
              <w:rPr>
                <w:rFonts w:ascii="Times New Roman" w:hAnsi="Times New Roman" w:cs="Times New Roman"/>
              </w:rPr>
              <w:t xml:space="preserve">rograma atitinka dabartines </w:t>
            </w:r>
            <w:r w:rsidRPr="002D7A53">
              <w:rPr>
                <w:rFonts w:ascii="Times New Roman" w:hAnsi="Times New Roman" w:cs="Times New Roman"/>
              </w:rPr>
              <w:t xml:space="preserve">politikos </w:t>
            </w:r>
            <w:r w:rsidR="002D7A53" w:rsidRPr="002D7A53">
              <w:rPr>
                <w:rFonts w:ascii="Times New Roman" w:hAnsi="Times New Roman" w:cs="Times New Roman"/>
              </w:rPr>
              <w:t xml:space="preserve">darbotvarkes </w:t>
            </w:r>
            <w:r w:rsidRPr="002D7A53">
              <w:rPr>
                <w:rFonts w:ascii="Times New Roman" w:hAnsi="Times New Roman" w:cs="Times New Roman"/>
              </w:rPr>
              <w:t xml:space="preserve">ES </w:t>
            </w:r>
            <w:r w:rsidR="002D7A53" w:rsidRPr="002D7A53">
              <w:rPr>
                <w:rFonts w:ascii="Times New Roman" w:hAnsi="Times New Roman" w:cs="Times New Roman"/>
              </w:rPr>
              <w:t>ir nacionaliniu lygiu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7B5898E" w14:textId="19D42D56" w:rsidR="002D7A53" w:rsidRPr="002D7A53" w:rsidRDefault="002D7A53" w:rsidP="00B771E2">
            <w:pPr>
              <w:jc w:val="both"/>
              <w:rPr>
                <w:rFonts w:ascii="Times New Roman" w:hAnsi="Times New Roman" w:cs="Times New Roman"/>
              </w:rPr>
            </w:pPr>
            <w:r w:rsidRPr="002D7A53">
              <w:rPr>
                <w:rFonts w:ascii="Times New Roman" w:hAnsi="Times New Roman" w:cs="Times New Roman"/>
              </w:rPr>
              <w:t xml:space="preserve">- </w:t>
            </w:r>
            <w:r w:rsidR="00D03181">
              <w:rPr>
                <w:rFonts w:ascii="Times New Roman" w:hAnsi="Times New Roman" w:cs="Times New Roman"/>
              </w:rPr>
              <w:t>y</w:t>
            </w:r>
            <w:r w:rsidRPr="002D7A53">
              <w:rPr>
                <w:rFonts w:ascii="Times New Roman" w:hAnsi="Times New Roman" w:cs="Times New Roman"/>
              </w:rPr>
              <w:t>ra tarpžinybinio bendradarbiavimo įrodymų</w:t>
            </w:r>
            <w:r w:rsidR="00D03181">
              <w:rPr>
                <w:rFonts w:ascii="Times New Roman" w:hAnsi="Times New Roman" w:cs="Times New Roman"/>
              </w:rPr>
              <w:t>;</w:t>
            </w:r>
          </w:p>
          <w:p w14:paraId="4954E36D" w14:textId="1A6AEF6B" w:rsidR="002D7A53" w:rsidRPr="002F48CD" w:rsidRDefault="002D7A53" w:rsidP="00B771E2">
            <w:pPr>
              <w:jc w:val="both"/>
              <w:rPr>
                <w:rFonts w:ascii="Times New Roman" w:hAnsi="Times New Roman" w:cs="Times New Roman"/>
              </w:rPr>
            </w:pPr>
            <w:r w:rsidRPr="002D7A53">
              <w:rPr>
                <w:rFonts w:ascii="Times New Roman" w:hAnsi="Times New Roman" w:cs="Times New Roman"/>
              </w:rPr>
              <w:t>-…</w:t>
            </w:r>
          </w:p>
        </w:tc>
      </w:tr>
      <w:tr w:rsidR="002D7A53" w:rsidRPr="002F48CD" w14:paraId="71402354" w14:textId="77777777" w:rsidTr="00B771E2">
        <w:tc>
          <w:tcPr>
            <w:tcW w:w="1646" w:type="dxa"/>
            <w:vMerge/>
            <w:shd w:val="clear" w:color="auto" w:fill="F2F2F2" w:themeFill="background1" w:themeFillShade="F2"/>
          </w:tcPr>
          <w:p w14:paraId="03D87DDE" w14:textId="77777777" w:rsidR="002D7A53" w:rsidRPr="002F48CD" w:rsidRDefault="002D7A53" w:rsidP="0086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14:paraId="08ECA6A3" w14:textId="5B089E92" w:rsidR="002D7A53" w:rsidRPr="002D7A53" w:rsidRDefault="002D7A53" w:rsidP="002D7A53">
            <w:pPr>
              <w:rPr>
                <w:rFonts w:ascii="Times New Roman" w:hAnsi="Times New Roman" w:cs="Times New Roman"/>
              </w:rPr>
            </w:pPr>
            <w:r w:rsidRPr="002D7A53">
              <w:rPr>
                <w:rFonts w:ascii="Times New Roman" w:hAnsi="Times New Roman" w:cs="Times New Roman"/>
              </w:rPr>
              <w:t xml:space="preserve">Kokiu mastu </w:t>
            </w:r>
            <w:r w:rsidR="00085562" w:rsidRPr="002D7A53">
              <w:rPr>
                <w:rFonts w:ascii="Times New Roman" w:hAnsi="Times New Roman" w:cs="Times New Roman"/>
              </w:rPr>
              <w:t xml:space="preserve">programa </w:t>
            </w:r>
            <w:r w:rsidRPr="002D7A53">
              <w:rPr>
                <w:rFonts w:ascii="Times New Roman" w:hAnsi="Times New Roman" w:cs="Times New Roman"/>
              </w:rPr>
              <w:t>yra</w:t>
            </w:r>
          </w:p>
          <w:p w14:paraId="56EA050E" w14:textId="63AA8E61" w:rsidR="002D7A53" w:rsidRPr="002D7A53" w:rsidRDefault="002D7A53" w:rsidP="002D7A53">
            <w:pPr>
              <w:rPr>
                <w:rFonts w:ascii="Times New Roman" w:hAnsi="Times New Roman" w:cs="Times New Roman"/>
              </w:rPr>
            </w:pPr>
            <w:r w:rsidRPr="002D7A53">
              <w:rPr>
                <w:rFonts w:ascii="Times New Roman" w:hAnsi="Times New Roman" w:cs="Times New Roman"/>
              </w:rPr>
              <w:t>suderinama su</w:t>
            </w:r>
            <w:r w:rsidR="00085562">
              <w:rPr>
                <w:rFonts w:ascii="Times New Roman" w:hAnsi="Times New Roman" w:cs="Times New Roman"/>
              </w:rPr>
              <w:t xml:space="preserve"> </w:t>
            </w:r>
            <w:r w:rsidR="002500CB">
              <w:rPr>
                <w:rFonts w:ascii="Times New Roman" w:hAnsi="Times New Roman" w:cs="Times New Roman"/>
              </w:rPr>
              <w:t>kitais ES fondais</w:t>
            </w:r>
            <w:r w:rsidRPr="002D7A53">
              <w:rPr>
                <w:rFonts w:ascii="Times New Roman" w:hAnsi="Times New Roman" w:cs="Times New Roman"/>
              </w:rPr>
              <w:t xml:space="preserve"> (įskaitant</w:t>
            </w:r>
            <w:r w:rsidR="00085562">
              <w:rPr>
                <w:rFonts w:ascii="Times New Roman" w:hAnsi="Times New Roman" w:cs="Times New Roman"/>
              </w:rPr>
              <w:t xml:space="preserve"> </w:t>
            </w:r>
            <w:r w:rsidRPr="002D7A53">
              <w:rPr>
                <w:rFonts w:ascii="Times New Roman" w:hAnsi="Times New Roman" w:cs="Times New Roman"/>
              </w:rPr>
              <w:t>kit</w:t>
            </w:r>
            <w:r w:rsidR="00085562">
              <w:rPr>
                <w:rFonts w:ascii="Times New Roman" w:hAnsi="Times New Roman" w:cs="Times New Roman"/>
              </w:rPr>
              <w:t>us vidaus reikalų fondus</w:t>
            </w:r>
            <w:r w:rsidRPr="002D7A53">
              <w:rPr>
                <w:rFonts w:ascii="Times New Roman" w:hAnsi="Times New Roman" w:cs="Times New Roman"/>
              </w:rPr>
              <w:t>), o ypač</w:t>
            </w:r>
          </w:p>
          <w:p w14:paraId="6AD0D3A8" w14:textId="77777777" w:rsidR="002D7A53" w:rsidRPr="002D7A53" w:rsidRDefault="002D7A53" w:rsidP="002D7A53">
            <w:pPr>
              <w:rPr>
                <w:rFonts w:ascii="Times New Roman" w:hAnsi="Times New Roman" w:cs="Times New Roman"/>
              </w:rPr>
            </w:pPr>
            <w:r w:rsidRPr="002D7A53">
              <w:rPr>
                <w:rFonts w:ascii="Times New Roman" w:hAnsi="Times New Roman" w:cs="Times New Roman"/>
              </w:rPr>
              <w:t>su ES išorės</w:t>
            </w:r>
          </w:p>
          <w:p w14:paraId="23616A7E" w14:textId="6854D19C" w:rsidR="002D7A53" w:rsidRPr="002F48CD" w:rsidRDefault="002D7A53" w:rsidP="002D7A53">
            <w:pPr>
              <w:rPr>
                <w:rFonts w:ascii="Times New Roman" w:hAnsi="Times New Roman" w:cs="Times New Roman"/>
              </w:rPr>
            </w:pPr>
            <w:r w:rsidRPr="002D7A53">
              <w:rPr>
                <w:rFonts w:ascii="Times New Roman" w:hAnsi="Times New Roman" w:cs="Times New Roman"/>
              </w:rPr>
              <w:t>veiksmas?</w:t>
            </w:r>
          </w:p>
        </w:tc>
        <w:tc>
          <w:tcPr>
            <w:tcW w:w="9581" w:type="dxa"/>
          </w:tcPr>
          <w:p w14:paraId="6422F3C9" w14:textId="3331AF3F" w:rsidR="002D7A53" w:rsidRPr="002D7A53" w:rsidRDefault="002500CB" w:rsidP="00B771E2">
            <w:pPr>
              <w:jc w:val="both"/>
              <w:rPr>
                <w:rFonts w:ascii="Times New Roman" w:hAnsi="Times New Roman" w:cs="Times New Roman"/>
              </w:rPr>
            </w:pPr>
            <w:r w:rsidRPr="002500C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0CB">
              <w:rPr>
                <w:rFonts w:ascii="Times New Roman" w:hAnsi="Times New Roman" w:cs="Times New Roman"/>
              </w:rPr>
              <w:t>yra sukurtos struktūros, organizaciniai susitarimai ar koordinavimo mechanizmai, užtikrinantys koordinavimą, papildomumą ir, jei reikia, sinergiją</w:t>
            </w:r>
            <w:r w:rsidR="00A81448">
              <w:rPr>
                <w:rFonts w:ascii="Times New Roman" w:hAnsi="Times New Roman" w:cs="Times New Roman"/>
              </w:rPr>
              <w:t xml:space="preserve"> su </w:t>
            </w:r>
            <w:r w:rsidR="002D7A53" w:rsidRPr="002D7A53">
              <w:rPr>
                <w:rFonts w:ascii="Times New Roman" w:hAnsi="Times New Roman" w:cs="Times New Roman"/>
              </w:rPr>
              <w:t>kit</w:t>
            </w:r>
            <w:r w:rsidR="00A81448">
              <w:rPr>
                <w:rFonts w:ascii="Times New Roman" w:hAnsi="Times New Roman" w:cs="Times New Roman"/>
              </w:rPr>
              <w:t>ais</w:t>
            </w:r>
            <w:r w:rsidR="002D7A53" w:rsidRPr="002D7A53">
              <w:rPr>
                <w:rFonts w:ascii="Times New Roman" w:hAnsi="Times New Roman" w:cs="Times New Roman"/>
              </w:rPr>
              <w:t xml:space="preserve"> ES fond</w:t>
            </w:r>
            <w:r w:rsidR="00A81448">
              <w:rPr>
                <w:rFonts w:ascii="Times New Roman" w:hAnsi="Times New Roman" w:cs="Times New Roman"/>
              </w:rPr>
              <w:t>ais</w:t>
            </w:r>
            <w:r w:rsidR="002D7A53" w:rsidRPr="002D7A53">
              <w:rPr>
                <w:rFonts w:ascii="Times New Roman" w:hAnsi="Times New Roman" w:cs="Times New Roman"/>
              </w:rPr>
              <w:t>, ypač sanglaudo</w:t>
            </w:r>
            <w:r w:rsidR="00A81448">
              <w:rPr>
                <w:rFonts w:ascii="Times New Roman" w:hAnsi="Times New Roman" w:cs="Times New Roman"/>
              </w:rPr>
              <w:t>s politika</w:t>
            </w:r>
            <w:r w:rsidR="002D7A53" w:rsidRPr="002D7A53">
              <w:rPr>
                <w:rFonts w:ascii="Times New Roman" w:hAnsi="Times New Roman" w:cs="Times New Roman"/>
              </w:rPr>
              <w:t xml:space="preserve"> ir ES</w:t>
            </w:r>
            <w:r w:rsidR="00A81448">
              <w:rPr>
                <w:rFonts w:ascii="Times New Roman" w:hAnsi="Times New Roman" w:cs="Times New Roman"/>
              </w:rPr>
              <w:t xml:space="preserve"> </w:t>
            </w:r>
            <w:r w:rsidR="002D7A53" w:rsidRPr="002D7A53">
              <w:rPr>
                <w:rFonts w:ascii="Times New Roman" w:hAnsi="Times New Roman" w:cs="Times New Roman"/>
              </w:rPr>
              <w:t>išoriniai</w:t>
            </w:r>
            <w:r w:rsidR="00A81448">
              <w:rPr>
                <w:rFonts w:ascii="Times New Roman" w:hAnsi="Times New Roman" w:cs="Times New Roman"/>
              </w:rPr>
              <w:t>s veiksmais;</w:t>
            </w:r>
          </w:p>
          <w:p w14:paraId="2BEF47A7" w14:textId="5AC01FED" w:rsidR="002D7A53" w:rsidRPr="002D7A53" w:rsidRDefault="002D7A53" w:rsidP="00B771E2">
            <w:pPr>
              <w:jc w:val="both"/>
              <w:rPr>
                <w:rFonts w:ascii="Times New Roman" w:hAnsi="Times New Roman" w:cs="Times New Roman"/>
              </w:rPr>
            </w:pPr>
            <w:r w:rsidRPr="002D7A53">
              <w:rPr>
                <w:rFonts w:ascii="Times New Roman" w:hAnsi="Times New Roman" w:cs="Times New Roman"/>
              </w:rPr>
              <w:t xml:space="preserve">- </w:t>
            </w:r>
            <w:r w:rsidR="00A81448">
              <w:rPr>
                <w:rFonts w:ascii="Times New Roman" w:hAnsi="Times New Roman" w:cs="Times New Roman"/>
              </w:rPr>
              <w:t>k</w:t>
            </w:r>
            <w:r w:rsidRPr="002D7A53">
              <w:rPr>
                <w:rFonts w:ascii="Times New Roman" w:hAnsi="Times New Roman" w:cs="Times New Roman"/>
              </w:rPr>
              <w:t>oordinavimo mechanizmai ir susitarimai naudojami reguliariai ir sėkmingai</w:t>
            </w:r>
            <w:r w:rsidR="00D66480">
              <w:rPr>
                <w:rFonts w:ascii="Times New Roman" w:hAnsi="Times New Roman" w:cs="Times New Roman"/>
              </w:rPr>
              <w:t>;</w:t>
            </w:r>
          </w:p>
          <w:p w14:paraId="26A43F0E" w14:textId="77777777" w:rsidR="00D66480" w:rsidRPr="00D66480" w:rsidRDefault="00D66480" w:rsidP="00B771E2">
            <w:pPr>
              <w:jc w:val="both"/>
              <w:rPr>
                <w:rFonts w:ascii="Times New Roman" w:hAnsi="Times New Roman" w:cs="Times New Roman"/>
              </w:rPr>
            </w:pPr>
            <w:r w:rsidRPr="00D66480">
              <w:rPr>
                <w:rFonts w:ascii="Times New Roman" w:hAnsi="Times New Roman" w:cs="Times New Roman"/>
              </w:rPr>
              <w:t>- tariamas sutapimas yra pateisinamas objektyviomis priežastimis (pvz., ta pati tikslinė grupė, bet kitokio tipo priemonė / skirtingi poreikiai / skirtingas pasirengimas pasirinktai finansavimo paramos rūšiai);</w:t>
            </w:r>
          </w:p>
          <w:p w14:paraId="6511EFFC" w14:textId="221967AC" w:rsidR="002D7A53" w:rsidRPr="002D7A53" w:rsidRDefault="002D7A53" w:rsidP="00B771E2">
            <w:pPr>
              <w:jc w:val="both"/>
              <w:rPr>
                <w:rFonts w:ascii="Times New Roman" w:hAnsi="Times New Roman" w:cs="Times New Roman"/>
              </w:rPr>
            </w:pPr>
            <w:r w:rsidRPr="002D7A53">
              <w:rPr>
                <w:rFonts w:ascii="Times New Roman" w:hAnsi="Times New Roman" w:cs="Times New Roman"/>
              </w:rPr>
              <w:t xml:space="preserve">- </w:t>
            </w:r>
            <w:r w:rsidR="00D66480">
              <w:rPr>
                <w:rFonts w:ascii="Times New Roman" w:hAnsi="Times New Roman" w:cs="Times New Roman"/>
              </w:rPr>
              <w:t>p</w:t>
            </w:r>
            <w:r w:rsidRPr="002D7A53">
              <w:rPr>
                <w:rFonts w:ascii="Times New Roman" w:hAnsi="Times New Roman" w:cs="Times New Roman"/>
              </w:rPr>
              <w:t xml:space="preserve">rograma </w:t>
            </w:r>
            <w:r w:rsidR="00D66480">
              <w:rPr>
                <w:rFonts w:ascii="Times New Roman" w:hAnsi="Times New Roman" w:cs="Times New Roman"/>
              </w:rPr>
              <w:t>papildo įvairias politikos darbotvarke</w:t>
            </w:r>
            <w:r w:rsidRPr="002D7A53">
              <w:rPr>
                <w:rFonts w:ascii="Times New Roman" w:hAnsi="Times New Roman" w:cs="Times New Roman"/>
              </w:rPr>
              <w:t xml:space="preserve">s, papildydama kitų </w:t>
            </w:r>
            <w:r w:rsidR="00D66480" w:rsidRPr="002D7A53">
              <w:rPr>
                <w:rFonts w:ascii="Times New Roman" w:hAnsi="Times New Roman" w:cs="Times New Roman"/>
              </w:rPr>
              <w:t>ES lėšų</w:t>
            </w:r>
            <w:r w:rsidR="00D66480">
              <w:rPr>
                <w:rFonts w:ascii="Times New Roman" w:hAnsi="Times New Roman" w:cs="Times New Roman"/>
              </w:rPr>
              <w:t xml:space="preserve"> </w:t>
            </w:r>
            <w:r w:rsidRPr="002D7A53">
              <w:rPr>
                <w:rFonts w:ascii="Times New Roman" w:hAnsi="Times New Roman" w:cs="Times New Roman"/>
              </w:rPr>
              <w:t>siūlomą paramą</w:t>
            </w:r>
            <w:r w:rsidR="00D66480">
              <w:rPr>
                <w:rFonts w:ascii="Times New Roman" w:hAnsi="Times New Roman" w:cs="Times New Roman"/>
              </w:rPr>
              <w:t>;</w:t>
            </w:r>
          </w:p>
          <w:p w14:paraId="6B3F2A21" w14:textId="69D2D1F2" w:rsidR="002D7A53" w:rsidRPr="002F48CD" w:rsidRDefault="002D7A53" w:rsidP="00B771E2">
            <w:pPr>
              <w:jc w:val="both"/>
              <w:rPr>
                <w:rFonts w:ascii="Times New Roman" w:hAnsi="Times New Roman" w:cs="Times New Roman"/>
              </w:rPr>
            </w:pPr>
            <w:r w:rsidRPr="002D7A53">
              <w:rPr>
                <w:rFonts w:ascii="Times New Roman" w:hAnsi="Times New Roman" w:cs="Times New Roman"/>
              </w:rPr>
              <w:t>-…</w:t>
            </w:r>
          </w:p>
        </w:tc>
      </w:tr>
      <w:tr w:rsidR="002F48CD" w:rsidRPr="002F48CD" w14:paraId="77631BFC" w14:textId="77777777" w:rsidTr="00B771E2">
        <w:tc>
          <w:tcPr>
            <w:tcW w:w="1646" w:type="dxa"/>
            <w:shd w:val="clear" w:color="auto" w:fill="F2F2F2" w:themeFill="background1" w:themeFillShade="F2"/>
          </w:tcPr>
          <w:p w14:paraId="67255A64" w14:textId="77777777" w:rsidR="002F48CD" w:rsidRPr="002F48CD" w:rsidRDefault="002F48CD" w:rsidP="008641E2">
            <w:pPr>
              <w:rPr>
                <w:rFonts w:ascii="Times New Roman" w:hAnsi="Times New Roman" w:cs="Times New Roman"/>
              </w:rPr>
            </w:pPr>
            <w:r w:rsidRPr="002F48CD">
              <w:rPr>
                <w:rFonts w:ascii="Times New Roman" w:hAnsi="Times New Roman" w:cs="Times New Roman"/>
              </w:rPr>
              <w:t>Sąjungos pridėtinė vertė (</w:t>
            </w:r>
            <w:proofErr w:type="spellStart"/>
            <w:r w:rsidRPr="00F57AA2">
              <w:rPr>
                <w:rFonts w:ascii="Times New Roman" w:hAnsi="Times New Roman" w:cs="Times New Roman"/>
                <w:i/>
              </w:rPr>
              <w:t>Union</w:t>
            </w:r>
            <w:proofErr w:type="spellEnd"/>
            <w:r w:rsidRPr="00F57AA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57AA2">
              <w:rPr>
                <w:rFonts w:ascii="Times New Roman" w:hAnsi="Times New Roman" w:cs="Times New Roman"/>
                <w:i/>
              </w:rPr>
              <w:t>added</w:t>
            </w:r>
            <w:proofErr w:type="spellEnd"/>
            <w:r w:rsidRPr="00F57AA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57AA2">
              <w:rPr>
                <w:rFonts w:ascii="Times New Roman" w:hAnsi="Times New Roman" w:cs="Times New Roman"/>
                <w:i/>
              </w:rPr>
              <w:t>value</w:t>
            </w:r>
            <w:proofErr w:type="spellEnd"/>
            <w:r w:rsidRPr="002F48CD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227" w:type="dxa"/>
          </w:tcPr>
          <w:p w14:paraId="6F8F21D3" w14:textId="47437C79" w:rsidR="00F57AA2" w:rsidRPr="00F57AA2" w:rsidRDefault="00F57AA2" w:rsidP="00F57AA2">
            <w:pPr>
              <w:rPr>
                <w:rFonts w:ascii="Times New Roman" w:hAnsi="Times New Roman" w:cs="Times New Roman"/>
              </w:rPr>
            </w:pPr>
            <w:r w:rsidRPr="00F57AA2">
              <w:rPr>
                <w:rFonts w:ascii="Times New Roman" w:hAnsi="Times New Roman" w:cs="Times New Roman"/>
              </w:rPr>
              <w:t xml:space="preserve">Kokiu mastu </w:t>
            </w:r>
            <w:r w:rsidR="00B771E2">
              <w:rPr>
                <w:rFonts w:ascii="Times New Roman" w:hAnsi="Times New Roman" w:cs="Times New Roman"/>
              </w:rPr>
              <w:t>programa</w:t>
            </w:r>
          </w:p>
          <w:p w14:paraId="1F099701" w14:textId="6D979684" w:rsidR="002F48CD" w:rsidRPr="002F48CD" w:rsidRDefault="00411A6C" w:rsidP="00B7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F57AA2" w:rsidRPr="00F57AA2">
              <w:rPr>
                <w:rFonts w:ascii="Times New Roman" w:hAnsi="Times New Roman" w:cs="Times New Roman"/>
              </w:rPr>
              <w:t>ener</w:t>
            </w:r>
            <w:r w:rsidR="00B771E2">
              <w:rPr>
                <w:rFonts w:ascii="Times New Roman" w:hAnsi="Times New Roman" w:cs="Times New Roman"/>
              </w:rPr>
              <w:t xml:space="preserve">uoja </w:t>
            </w:r>
            <w:r w:rsidR="00F57AA2" w:rsidRPr="00F57AA2">
              <w:rPr>
                <w:rFonts w:ascii="Times New Roman" w:hAnsi="Times New Roman" w:cs="Times New Roman"/>
              </w:rPr>
              <w:t>ES pridėtin</w:t>
            </w:r>
            <w:r w:rsidR="00B771E2">
              <w:rPr>
                <w:rFonts w:ascii="Times New Roman" w:hAnsi="Times New Roman" w:cs="Times New Roman"/>
              </w:rPr>
              <w:t>ę</w:t>
            </w:r>
            <w:r w:rsidR="00F57AA2" w:rsidRPr="00F57AA2">
              <w:rPr>
                <w:rFonts w:ascii="Times New Roman" w:hAnsi="Times New Roman" w:cs="Times New Roman"/>
              </w:rPr>
              <w:t xml:space="preserve"> vert</w:t>
            </w:r>
            <w:r w:rsidR="00B771E2">
              <w:rPr>
                <w:rFonts w:ascii="Times New Roman" w:hAnsi="Times New Roman" w:cs="Times New Roman"/>
              </w:rPr>
              <w:t>ę</w:t>
            </w:r>
            <w:r w:rsidR="00F57AA2" w:rsidRPr="00F57AA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581" w:type="dxa"/>
          </w:tcPr>
          <w:p w14:paraId="289BAF7C" w14:textId="45D88DC8" w:rsidR="00F57AA2" w:rsidRPr="00F57AA2" w:rsidRDefault="00034BCB" w:rsidP="00B7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="00F57AA2" w:rsidRPr="00F57AA2">
              <w:rPr>
                <w:rFonts w:ascii="Times New Roman" w:hAnsi="Times New Roman" w:cs="Times New Roman"/>
              </w:rPr>
              <w:t xml:space="preserve">rograma orientuota į sritis, intervencijas ir tikslines grupes, kuriose </w:t>
            </w:r>
            <w:r w:rsidR="009558CF" w:rsidRPr="00F57AA2">
              <w:rPr>
                <w:rFonts w:ascii="Times New Roman" w:hAnsi="Times New Roman" w:cs="Times New Roman"/>
              </w:rPr>
              <w:t xml:space="preserve">ES lygmeniu </w:t>
            </w:r>
            <w:r w:rsidR="00F57AA2" w:rsidRPr="00F57AA2">
              <w:rPr>
                <w:rFonts w:ascii="Times New Roman" w:hAnsi="Times New Roman" w:cs="Times New Roman"/>
              </w:rPr>
              <w:t xml:space="preserve">galima pasiekti </w:t>
            </w:r>
            <w:r w:rsidR="009558CF">
              <w:rPr>
                <w:rFonts w:ascii="Times New Roman" w:hAnsi="Times New Roman" w:cs="Times New Roman"/>
              </w:rPr>
              <w:t xml:space="preserve">didesnius </w:t>
            </w:r>
            <w:r w:rsidR="009558CF" w:rsidRPr="00F57AA2">
              <w:rPr>
                <w:rFonts w:ascii="Times New Roman" w:hAnsi="Times New Roman" w:cs="Times New Roman"/>
              </w:rPr>
              <w:t xml:space="preserve">rezultatus </w:t>
            </w:r>
            <w:r w:rsidR="009558CF">
              <w:rPr>
                <w:rFonts w:ascii="Times New Roman" w:hAnsi="Times New Roman" w:cs="Times New Roman"/>
              </w:rPr>
              <w:t>nei tuos, kuriuos</w:t>
            </w:r>
            <w:r w:rsidR="00F57AA2" w:rsidRPr="00F57AA2">
              <w:rPr>
                <w:rFonts w:ascii="Times New Roman" w:hAnsi="Times New Roman" w:cs="Times New Roman"/>
              </w:rPr>
              <w:t xml:space="preserve"> </w:t>
            </w:r>
            <w:r w:rsidR="009558CF" w:rsidRPr="00F57AA2">
              <w:rPr>
                <w:rFonts w:ascii="Times New Roman" w:hAnsi="Times New Roman" w:cs="Times New Roman"/>
              </w:rPr>
              <w:t xml:space="preserve">valstybės narės </w:t>
            </w:r>
            <w:r w:rsidR="00F57AA2" w:rsidRPr="00F57AA2">
              <w:rPr>
                <w:rFonts w:ascii="Times New Roman" w:hAnsi="Times New Roman" w:cs="Times New Roman"/>
              </w:rPr>
              <w:t xml:space="preserve">gali pasiekti veikdamos </w:t>
            </w:r>
            <w:r w:rsidR="009558CF">
              <w:rPr>
                <w:rFonts w:ascii="Times New Roman" w:hAnsi="Times New Roman" w:cs="Times New Roman"/>
              </w:rPr>
              <w:t>savarankiškai, pvz.</w:t>
            </w:r>
            <w:r w:rsidR="00F57AA2" w:rsidRPr="00F57AA2">
              <w:rPr>
                <w:rFonts w:ascii="Times New Roman" w:hAnsi="Times New Roman" w:cs="Times New Roman"/>
              </w:rPr>
              <w:t>:</w:t>
            </w:r>
          </w:p>
          <w:p w14:paraId="02D61938" w14:textId="782DF345" w:rsidR="00F57AA2" w:rsidRPr="00F57AA2" w:rsidRDefault="009558CF" w:rsidP="00B771E2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</w:t>
            </w:r>
            <w:r w:rsidR="00F57AA2" w:rsidRPr="00F57AA2">
              <w:rPr>
                <w:rFonts w:ascii="Times New Roman" w:hAnsi="Times New Roman" w:cs="Times New Roman"/>
              </w:rPr>
              <w:t xml:space="preserve">ra įrodymų apie </w:t>
            </w:r>
            <w:r w:rsidR="00B771E2">
              <w:rPr>
                <w:rFonts w:ascii="Times New Roman" w:hAnsi="Times New Roman" w:cs="Times New Roman"/>
              </w:rPr>
              <w:t>apimties</w:t>
            </w:r>
            <w:r w:rsidR="00B771E2" w:rsidRPr="00F57AA2">
              <w:rPr>
                <w:rFonts w:ascii="Times New Roman" w:hAnsi="Times New Roman" w:cs="Times New Roman"/>
              </w:rPr>
              <w:t xml:space="preserve"> </w:t>
            </w:r>
            <w:r w:rsidR="00F57AA2" w:rsidRPr="00F57AA2">
              <w:rPr>
                <w:rFonts w:ascii="Times New Roman" w:hAnsi="Times New Roman" w:cs="Times New Roman"/>
              </w:rPr>
              <w:t>poveik</w:t>
            </w:r>
            <w:r w:rsidR="00B771E2">
              <w:rPr>
                <w:rFonts w:ascii="Times New Roman" w:hAnsi="Times New Roman" w:cs="Times New Roman"/>
              </w:rPr>
              <w:t>į</w:t>
            </w:r>
            <w:r w:rsidR="00F57AA2" w:rsidRPr="00F57AA2">
              <w:rPr>
                <w:rFonts w:ascii="Times New Roman" w:hAnsi="Times New Roman" w:cs="Times New Roman"/>
              </w:rPr>
              <w:t xml:space="preserve">, t. y. </w:t>
            </w:r>
            <w:r>
              <w:rPr>
                <w:rFonts w:ascii="Times New Roman" w:hAnsi="Times New Roman" w:cs="Times New Roman"/>
              </w:rPr>
              <w:t>siūlomos</w:t>
            </w:r>
            <w:r w:rsidRPr="00F57AA2">
              <w:rPr>
                <w:rFonts w:ascii="Times New Roman" w:hAnsi="Times New Roman" w:cs="Times New Roman"/>
              </w:rPr>
              <w:t xml:space="preserve"> </w:t>
            </w:r>
            <w:r w:rsidR="00F57AA2" w:rsidRPr="00F57AA2">
              <w:rPr>
                <w:rFonts w:ascii="Times New Roman" w:hAnsi="Times New Roman" w:cs="Times New Roman"/>
              </w:rPr>
              <w:t>papildom</w:t>
            </w:r>
            <w:r>
              <w:rPr>
                <w:rFonts w:ascii="Times New Roman" w:hAnsi="Times New Roman" w:cs="Times New Roman"/>
              </w:rPr>
              <w:t>os tikslinės</w:t>
            </w:r>
            <w:r w:rsidR="00F57AA2" w:rsidRPr="00F57AA2">
              <w:rPr>
                <w:rFonts w:ascii="Times New Roman" w:hAnsi="Times New Roman" w:cs="Times New Roman"/>
              </w:rPr>
              <w:t xml:space="preserve"> grup</w:t>
            </w:r>
            <w:r>
              <w:rPr>
                <w:rFonts w:ascii="Times New Roman" w:hAnsi="Times New Roman" w:cs="Times New Roman"/>
              </w:rPr>
              <w:t>ės</w:t>
            </w:r>
            <w:r w:rsidR="00F57AA2" w:rsidRPr="00F57AA2">
              <w:rPr>
                <w:rFonts w:ascii="Times New Roman" w:hAnsi="Times New Roman" w:cs="Times New Roman"/>
              </w:rPr>
              <w:t xml:space="preserve"> arba papildom</w:t>
            </w:r>
            <w:r>
              <w:rPr>
                <w:rFonts w:ascii="Times New Roman" w:hAnsi="Times New Roman" w:cs="Times New Roman"/>
              </w:rPr>
              <w:t>os</w:t>
            </w:r>
            <w:r w:rsidR="00F57AA2" w:rsidRPr="00F57AA2">
              <w:rPr>
                <w:rFonts w:ascii="Times New Roman" w:hAnsi="Times New Roman" w:cs="Times New Roman"/>
              </w:rPr>
              <w:t xml:space="preserve"> </w:t>
            </w:r>
            <w:r w:rsidRPr="009558CF">
              <w:rPr>
                <w:rFonts w:ascii="Times New Roman" w:hAnsi="Times New Roman" w:cs="Times New Roman"/>
              </w:rPr>
              <w:t>intervencinių priemonių rūš</w:t>
            </w:r>
            <w:r>
              <w:rPr>
                <w:rFonts w:ascii="Times New Roman" w:hAnsi="Times New Roman" w:cs="Times New Roman"/>
              </w:rPr>
              <w:t>y</w:t>
            </w:r>
            <w:r w:rsidRPr="009558C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A922E51" w14:textId="0CA548AD" w:rsidR="00F57AA2" w:rsidRPr="00F57AA2" w:rsidRDefault="00B771E2" w:rsidP="00B771E2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</w:t>
            </w:r>
            <w:r w:rsidR="00F57AA2" w:rsidRPr="00F57AA2">
              <w:rPr>
                <w:rFonts w:ascii="Times New Roman" w:hAnsi="Times New Roman" w:cs="Times New Roman"/>
              </w:rPr>
              <w:t xml:space="preserve">ra </w:t>
            </w:r>
            <w:r w:rsidRPr="00F57AA2">
              <w:rPr>
                <w:rFonts w:ascii="Times New Roman" w:hAnsi="Times New Roman" w:cs="Times New Roman"/>
              </w:rPr>
              <w:t xml:space="preserve">įrodymų </w:t>
            </w:r>
            <w:r>
              <w:rPr>
                <w:rFonts w:ascii="Times New Roman" w:hAnsi="Times New Roman" w:cs="Times New Roman"/>
              </w:rPr>
              <w:t>apie masto poveikį</w:t>
            </w:r>
            <w:r w:rsidR="00F57AA2" w:rsidRPr="00F57AA2">
              <w:rPr>
                <w:rFonts w:ascii="Times New Roman" w:hAnsi="Times New Roman" w:cs="Times New Roman"/>
              </w:rPr>
              <w:t>, t. y. didesnis siūlomų paslaugų / galutinių naudo</w:t>
            </w:r>
            <w:r>
              <w:rPr>
                <w:rFonts w:ascii="Times New Roman" w:hAnsi="Times New Roman" w:cs="Times New Roman"/>
              </w:rPr>
              <w:t>s gavėjų</w:t>
            </w:r>
            <w:r w:rsidR="00F57AA2" w:rsidRPr="00F57AA2">
              <w:rPr>
                <w:rFonts w:ascii="Times New Roman" w:hAnsi="Times New Roman" w:cs="Times New Roman"/>
              </w:rPr>
              <w:t xml:space="preserve"> skaičius.</w:t>
            </w:r>
          </w:p>
          <w:p w14:paraId="15DF2493" w14:textId="0AA44472" w:rsidR="00F57AA2" w:rsidRPr="00F57AA2" w:rsidRDefault="00B771E2" w:rsidP="00B771E2">
            <w:pPr>
              <w:ind w:firstLine="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</w:t>
            </w:r>
            <w:r w:rsidR="00F57AA2" w:rsidRPr="00F57AA2">
              <w:rPr>
                <w:rFonts w:ascii="Times New Roman" w:hAnsi="Times New Roman" w:cs="Times New Roman"/>
              </w:rPr>
              <w:t>ra įrodymų apie funkcijų poveikį, t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57AA2" w:rsidRPr="00F57AA2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.</w:t>
            </w:r>
            <w:r w:rsidR="00F57AA2" w:rsidRPr="00F57AA2">
              <w:rPr>
                <w:rFonts w:ascii="Times New Roman" w:hAnsi="Times New Roman" w:cs="Times New Roman"/>
              </w:rPr>
              <w:t xml:space="preserve"> </w:t>
            </w:r>
            <w:r w:rsidRPr="00B771E2">
              <w:rPr>
                <w:rFonts w:ascii="Times New Roman" w:hAnsi="Times New Roman" w:cs="Times New Roman"/>
              </w:rPr>
              <w:t>dalyvaujančių subjektų</w:t>
            </w:r>
            <w:r w:rsidRPr="00F57AA2">
              <w:rPr>
                <w:rFonts w:ascii="Times New Roman" w:hAnsi="Times New Roman" w:cs="Times New Roman"/>
              </w:rPr>
              <w:t xml:space="preserve"> </w:t>
            </w:r>
            <w:r w:rsidR="00F57AA2" w:rsidRPr="00F57AA2">
              <w:rPr>
                <w:rFonts w:ascii="Times New Roman" w:hAnsi="Times New Roman" w:cs="Times New Roman"/>
              </w:rPr>
              <w:t>mokymąsi ir padidėjusį gebėjimą valdyti vieš</w:t>
            </w:r>
            <w:r>
              <w:rPr>
                <w:rFonts w:ascii="Times New Roman" w:hAnsi="Times New Roman" w:cs="Times New Roman"/>
              </w:rPr>
              <w:t>ąją</w:t>
            </w:r>
            <w:r w:rsidR="00F57AA2" w:rsidRPr="00F57AA2">
              <w:rPr>
                <w:rFonts w:ascii="Times New Roman" w:hAnsi="Times New Roman" w:cs="Times New Roman"/>
              </w:rPr>
              <w:t xml:space="preserve"> param</w:t>
            </w:r>
            <w:r>
              <w:rPr>
                <w:rFonts w:ascii="Times New Roman" w:hAnsi="Times New Roman" w:cs="Times New Roman"/>
              </w:rPr>
              <w:t>ą;</w:t>
            </w:r>
          </w:p>
          <w:p w14:paraId="67F533F4" w14:textId="073FD9C1" w:rsidR="00F57AA2" w:rsidRPr="00F57AA2" w:rsidRDefault="00B771E2" w:rsidP="00B7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</w:t>
            </w:r>
            <w:r w:rsidR="00F57AA2" w:rsidRPr="00F57AA2">
              <w:rPr>
                <w:rFonts w:ascii="Times New Roman" w:hAnsi="Times New Roman" w:cs="Times New Roman"/>
              </w:rPr>
              <w:t>ėra jokių priklausomybės</w:t>
            </w:r>
            <w:r w:rsidRPr="00F57AA2">
              <w:rPr>
                <w:rFonts w:ascii="Times New Roman" w:hAnsi="Times New Roman" w:cs="Times New Roman"/>
              </w:rPr>
              <w:t xml:space="preserve"> įrodymų</w:t>
            </w:r>
            <w:r w:rsidR="00F57AA2" w:rsidRPr="00F57AA2">
              <w:rPr>
                <w:rFonts w:ascii="Times New Roman" w:hAnsi="Times New Roman" w:cs="Times New Roman"/>
              </w:rPr>
              <w:t xml:space="preserve">, t. y. sistemingo investicijų, pagrįstų nacionaliniais ištekliais, trūkumo </w:t>
            </w:r>
            <w:r>
              <w:rPr>
                <w:rFonts w:ascii="Times New Roman" w:hAnsi="Times New Roman" w:cs="Times New Roman"/>
              </w:rPr>
              <w:t>atitinkamoms paslaugom</w:t>
            </w:r>
            <w:r w:rsidR="00F57AA2" w:rsidRPr="00F57AA2">
              <w:rPr>
                <w:rFonts w:ascii="Times New Roman" w:hAnsi="Times New Roman" w:cs="Times New Roman"/>
              </w:rPr>
              <w:t>s, kurios teikiamos tik iš ES fondų paramos.</w:t>
            </w:r>
          </w:p>
          <w:p w14:paraId="4DF2D1B0" w14:textId="44D713CC" w:rsidR="002F48CD" w:rsidRPr="002F48CD" w:rsidRDefault="00F57AA2" w:rsidP="00B771E2">
            <w:pPr>
              <w:jc w:val="both"/>
              <w:rPr>
                <w:rFonts w:ascii="Times New Roman" w:hAnsi="Times New Roman" w:cs="Times New Roman"/>
              </w:rPr>
            </w:pPr>
            <w:r w:rsidRPr="00F57AA2">
              <w:rPr>
                <w:rFonts w:ascii="Times New Roman" w:hAnsi="Times New Roman" w:cs="Times New Roman"/>
              </w:rPr>
              <w:t>-…</w:t>
            </w:r>
          </w:p>
        </w:tc>
      </w:tr>
    </w:tbl>
    <w:p w14:paraId="30358497" w14:textId="75C87942" w:rsidR="002F48CD" w:rsidRDefault="002F48CD" w:rsidP="008641E2">
      <w:pPr>
        <w:spacing w:after="0"/>
        <w:rPr>
          <w:rFonts w:ascii="Times New Roman" w:hAnsi="Times New Roman" w:cs="Times New Roman"/>
          <w:lang w:val="en-US"/>
        </w:rPr>
      </w:pPr>
    </w:p>
    <w:p w14:paraId="26E0C04E" w14:textId="173E3666" w:rsidR="00BA0813" w:rsidRDefault="00BA0813" w:rsidP="008641E2">
      <w:pPr>
        <w:spacing w:after="0"/>
        <w:rPr>
          <w:rFonts w:ascii="Times New Roman" w:hAnsi="Times New Roman" w:cs="Times New Roman"/>
          <w:lang w:val="en-US"/>
        </w:rPr>
      </w:pPr>
    </w:p>
    <w:p w14:paraId="48B99429" w14:textId="1275D013" w:rsidR="00BA0813" w:rsidRDefault="00BA0813" w:rsidP="008641E2">
      <w:pPr>
        <w:spacing w:after="0"/>
        <w:rPr>
          <w:rFonts w:ascii="Times New Roman" w:hAnsi="Times New Roman" w:cs="Times New Roman"/>
          <w:lang w:val="en-US"/>
        </w:rPr>
      </w:pPr>
    </w:p>
    <w:p w14:paraId="4CBC20F3" w14:textId="52CC1C26" w:rsidR="00BA0813" w:rsidRPr="0001519F" w:rsidRDefault="00BA0813" w:rsidP="004C4E8F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</w:t>
      </w:r>
    </w:p>
    <w:sectPr w:rsidR="00BA0813" w:rsidRPr="0001519F" w:rsidSect="004C4E8F">
      <w:headerReference w:type="default" r:id="rId11"/>
      <w:headerReference w:type="first" r:id="rId12"/>
      <w:pgSz w:w="16838" w:h="11906" w:orient="landscape"/>
      <w:pgMar w:top="1560" w:right="1701" w:bottom="426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9E47A" w14:textId="77777777" w:rsidR="006F5861" w:rsidRDefault="006F5861" w:rsidP="001278D2">
      <w:pPr>
        <w:spacing w:after="0" w:line="240" w:lineRule="auto"/>
      </w:pPr>
      <w:r>
        <w:separator/>
      </w:r>
    </w:p>
  </w:endnote>
  <w:endnote w:type="continuationSeparator" w:id="0">
    <w:p w14:paraId="741FDC61" w14:textId="77777777" w:rsidR="006F5861" w:rsidRDefault="006F5861" w:rsidP="0012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B1C7E" w14:textId="77777777" w:rsidR="006F5861" w:rsidRDefault="006F5861" w:rsidP="001278D2">
      <w:pPr>
        <w:spacing w:after="0" w:line="240" w:lineRule="auto"/>
      </w:pPr>
      <w:r>
        <w:separator/>
      </w:r>
    </w:p>
  </w:footnote>
  <w:footnote w:type="continuationSeparator" w:id="0">
    <w:p w14:paraId="151B5BBF" w14:textId="77777777" w:rsidR="006F5861" w:rsidRDefault="006F5861" w:rsidP="00127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60700"/>
      <w:docPartObj>
        <w:docPartGallery w:val="Page Numbers (Top of Page)"/>
        <w:docPartUnique/>
      </w:docPartObj>
    </w:sdtPr>
    <w:sdtEndPr/>
    <w:sdtContent>
      <w:p w14:paraId="06BB4429" w14:textId="48B4400D" w:rsidR="000F72EA" w:rsidRDefault="000F72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665">
          <w:rPr>
            <w:noProof/>
          </w:rPr>
          <w:t>7</w:t>
        </w:r>
        <w:r>
          <w:fldChar w:fldCharType="end"/>
        </w:r>
      </w:p>
    </w:sdtContent>
  </w:sdt>
  <w:p w14:paraId="60548843" w14:textId="64E3803B" w:rsidR="006F5861" w:rsidRPr="001278D2" w:rsidRDefault="006F5861" w:rsidP="001278D2">
    <w:pPr>
      <w:pStyle w:val="Header"/>
      <w:jc w:val="right"/>
      <w:rPr>
        <w:rFonts w:ascii="Times New Roman" w:hAnsi="Times New Roman" w:cs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9A547" w14:textId="67CA8ED5" w:rsidR="000F72EA" w:rsidRPr="00463088" w:rsidRDefault="00463088" w:rsidP="00463088">
    <w:pPr>
      <w:pStyle w:val="Header"/>
      <w:jc w:val="right"/>
      <w:rPr>
        <w:rFonts w:ascii="Times New Roman" w:hAnsi="Times New Roman" w:cs="Times New Roman"/>
        <w:b/>
      </w:rPr>
    </w:pPr>
    <w:r w:rsidRPr="00463088">
      <w:rPr>
        <w:rFonts w:ascii="Times New Roman" w:hAnsi="Times New Roman" w:cs="Times New Roman"/>
        <w:b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6CDC"/>
    <w:multiLevelType w:val="hybridMultilevel"/>
    <w:tmpl w:val="DDEAD2FE"/>
    <w:lvl w:ilvl="0" w:tplc="FE42C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36C8"/>
    <w:multiLevelType w:val="hybridMultilevel"/>
    <w:tmpl w:val="860E63B6"/>
    <w:lvl w:ilvl="0" w:tplc="FE42C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394E"/>
    <w:multiLevelType w:val="hybridMultilevel"/>
    <w:tmpl w:val="6E947FE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D3B29"/>
    <w:multiLevelType w:val="hybridMultilevel"/>
    <w:tmpl w:val="0AE672C4"/>
    <w:lvl w:ilvl="0" w:tplc="FE42C2FC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472AA"/>
    <w:multiLevelType w:val="multilevel"/>
    <w:tmpl w:val="68CE1F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BE0CAB"/>
    <w:multiLevelType w:val="hybridMultilevel"/>
    <w:tmpl w:val="1136BBAA"/>
    <w:lvl w:ilvl="0" w:tplc="FE42C2FC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C463F"/>
    <w:multiLevelType w:val="hybridMultilevel"/>
    <w:tmpl w:val="556448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93AEE"/>
    <w:multiLevelType w:val="hybridMultilevel"/>
    <w:tmpl w:val="1BC851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F757A"/>
    <w:multiLevelType w:val="hybridMultilevel"/>
    <w:tmpl w:val="E018A2A4"/>
    <w:lvl w:ilvl="0" w:tplc="FE42C2FC">
      <w:start w:val="5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37"/>
    <w:rsid w:val="00002EB1"/>
    <w:rsid w:val="0001519F"/>
    <w:rsid w:val="00023E75"/>
    <w:rsid w:val="00032F97"/>
    <w:rsid w:val="00034BCB"/>
    <w:rsid w:val="00041778"/>
    <w:rsid w:val="00060CE0"/>
    <w:rsid w:val="00085562"/>
    <w:rsid w:val="000855D3"/>
    <w:rsid w:val="000C7665"/>
    <w:rsid w:val="000F53DC"/>
    <w:rsid w:val="000F72EA"/>
    <w:rsid w:val="001278D2"/>
    <w:rsid w:val="00162AD8"/>
    <w:rsid w:val="00170E19"/>
    <w:rsid w:val="001828D4"/>
    <w:rsid w:val="001829E4"/>
    <w:rsid w:val="00187463"/>
    <w:rsid w:val="001B7AF9"/>
    <w:rsid w:val="001F5E36"/>
    <w:rsid w:val="00210B8F"/>
    <w:rsid w:val="00236DFB"/>
    <w:rsid w:val="0024373F"/>
    <w:rsid w:val="002500CB"/>
    <w:rsid w:val="00261476"/>
    <w:rsid w:val="00261C0B"/>
    <w:rsid w:val="002956B5"/>
    <w:rsid w:val="002B54FA"/>
    <w:rsid w:val="002D7A53"/>
    <w:rsid w:val="002F06AD"/>
    <w:rsid w:val="002F48CD"/>
    <w:rsid w:val="002F5D97"/>
    <w:rsid w:val="00325DE5"/>
    <w:rsid w:val="00352C57"/>
    <w:rsid w:val="00356567"/>
    <w:rsid w:val="003729DF"/>
    <w:rsid w:val="003933A0"/>
    <w:rsid w:val="003A117A"/>
    <w:rsid w:val="003C2A46"/>
    <w:rsid w:val="00410092"/>
    <w:rsid w:val="00411A6C"/>
    <w:rsid w:val="00454344"/>
    <w:rsid w:val="00463088"/>
    <w:rsid w:val="004C4E8F"/>
    <w:rsid w:val="004D43DD"/>
    <w:rsid w:val="004E69D5"/>
    <w:rsid w:val="00522036"/>
    <w:rsid w:val="00560965"/>
    <w:rsid w:val="00562D8D"/>
    <w:rsid w:val="005632A9"/>
    <w:rsid w:val="005915A7"/>
    <w:rsid w:val="00591ECC"/>
    <w:rsid w:val="005C3D41"/>
    <w:rsid w:val="005C5FEA"/>
    <w:rsid w:val="005E728B"/>
    <w:rsid w:val="00605A55"/>
    <w:rsid w:val="006061BB"/>
    <w:rsid w:val="0062001B"/>
    <w:rsid w:val="006300F5"/>
    <w:rsid w:val="0063337D"/>
    <w:rsid w:val="0063532D"/>
    <w:rsid w:val="00652E44"/>
    <w:rsid w:val="006740EC"/>
    <w:rsid w:val="006753FE"/>
    <w:rsid w:val="00684B34"/>
    <w:rsid w:val="006968B7"/>
    <w:rsid w:val="006F5861"/>
    <w:rsid w:val="007260E1"/>
    <w:rsid w:val="007272F8"/>
    <w:rsid w:val="00781FC0"/>
    <w:rsid w:val="007C424F"/>
    <w:rsid w:val="007C74B6"/>
    <w:rsid w:val="007E30CC"/>
    <w:rsid w:val="007E71C4"/>
    <w:rsid w:val="007F338C"/>
    <w:rsid w:val="007F3434"/>
    <w:rsid w:val="00802EDE"/>
    <w:rsid w:val="00815D50"/>
    <w:rsid w:val="00852920"/>
    <w:rsid w:val="008641E2"/>
    <w:rsid w:val="008C689F"/>
    <w:rsid w:val="008D722D"/>
    <w:rsid w:val="00915827"/>
    <w:rsid w:val="00921E5E"/>
    <w:rsid w:val="00932303"/>
    <w:rsid w:val="00954D51"/>
    <w:rsid w:val="009558CF"/>
    <w:rsid w:val="0098341A"/>
    <w:rsid w:val="00987588"/>
    <w:rsid w:val="00995BDF"/>
    <w:rsid w:val="009B4506"/>
    <w:rsid w:val="009C1C08"/>
    <w:rsid w:val="009D02D8"/>
    <w:rsid w:val="00A0712F"/>
    <w:rsid w:val="00A170CB"/>
    <w:rsid w:val="00A60BEA"/>
    <w:rsid w:val="00A62399"/>
    <w:rsid w:val="00A63D21"/>
    <w:rsid w:val="00A81448"/>
    <w:rsid w:val="00A91089"/>
    <w:rsid w:val="00A96558"/>
    <w:rsid w:val="00AB0865"/>
    <w:rsid w:val="00AB2257"/>
    <w:rsid w:val="00AC4F37"/>
    <w:rsid w:val="00AD1A5C"/>
    <w:rsid w:val="00AF1FE4"/>
    <w:rsid w:val="00B31C51"/>
    <w:rsid w:val="00B4271D"/>
    <w:rsid w:val="00B437E2"/>
    <w:rsid w:val="00B771E2"/>
    <w:rsid w:val="00B84469"/>
    <w:rsid w:val="00B925C0"/>
    <w:rsid w:val="00BA0813"/>
    <w:rsid w:val="00BA693F"/>
    <w:rsid w:val="00BB77F3"/>
    <w:rsid w:val="00BC14FC"/>
    <w:rsid w:val="00C10160"/>
    <w:rsid w:val="00C11781"/>
    <w:rsid w:val="00C87E32"/>
    <w:rsid w:val="00C92939"/>
    <w:rsid w:val="00C951F1"/>
    <w:rsid w:val="00CB3546"/>
    <w:rsid w:val="00CC1ED6"/>
    <w:rsid w:val="00CE32BD"/>
    <w:rsid w:val="00D02AD3"/>
    <w:rsid w:val="00D03181"/>
    <w:rsid w:val="00D06D29"/>
    <w:rsid w:val="00D157E9"/>
    <w:rsid w:val="00D402AC"/>
    <w:rsid w:val="00D4432E"/>
    <w:rsid w:val="00D5753D"/>
    <w:rsid w:val="00D66480"/>
    <w:rsid w:val="00D768BC"/>
    <w:rsid w:val="00D77031"/>
    <w:rsid w:val="00D77495"/>
    <w:rsid w:val="00DB1CF8"/>
    <w:rsid w:val="00DE723E"/>
    <w:rsid w:val="00E06C7C"/>
    <w:rsid w:val="00E25325"/>
    <w:rsid w:val="00E46445"/>
    <w:rsid w:val="00E90515"/>
    <w:rsid w:val="00EA10AA"/>
    <w:rsid w:val="00EF7FE5"/>
    <w:rsid w:val="00F0588E"/>
    <w:rsid w:val="00F11719"/>
    <w:rsid w:val="00F1535F"/>
    <w:rsid w:val="00F16467"/>
    <w:rsid w:val="00F57AA2"/>
    <w:rsid w:val="00F74203"/>
    <w:rsid w:val="00FB0367"/>
    <w:rsid w:val="00FB22A0"/>
    <w:rsid w:val="00FB6B3A"/>
    <w:rsid w:val="00FC1DEB"/>
    <w:rsid w:val="00FC2035"/>
    <w:rsid w:val="00F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70AA"/>
  <w15:chartTrackingRefBased/>
  <w15:docId w15:val="{57DE1B59-BEBB-448A-88A5-A5D24706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2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1C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7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8D2"/>
  </w:style>
  <w:style w:type="paragraph" w:styleId="Footer">
    <w:name w:val="footer"/>
    <w:basedOn w:val="Normal"/>
    <w:link w:val="FooterChar"/>
    <w:uiPriority w:val="99"/>
    <w:unhideWhenUsed/>
    <w:rsid w:val="00127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8D2"/>
  </w:style>
  <w:style w:type="character" w:styleId="CommentReference">
    <w:name w:val="annotation reference"/>
    <w:basedOn w:val="DefaultParagraphFont"/>
    <w:uiPriority w:val="99"/>
    <w:semiHidden/>
    <w:unhideWhenUsed/>
    <w:rsid w:val="000F5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3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3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3D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2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f.lt/vidaus-saugumo-fondo-progra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f.lt/svvp-program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vsfsvvp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f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13081</Words>
  <Characters>7457</Characters>
  <Application>Microsoft Office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Jegerskaitė-Kinaitienė</dc:creator>
  <cp:keywords/>
  <dc:description/>
  <cp:lastModifiedBy>Dovilė Jegerskaitė-Kinaitienė</cp:lastModifiedBy>
  <cp:revision>9</cp:revision>
  <dcterms:created xsi:type="dcterms:W3CDTF">2023-06-20T10:57:00Z</dcterms:created>
  <dcterms:modified xsi:type="dcterms:W3CDTF">2023-06-20T13:10:00Z</dcterms:modified>
</cp:coreProperties>
</file>