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50E9" w14:textId="77777777" w:rsidR="00A77B3E" w:rsidRPr="009201B2" w:rsidRDefault="00A77B3E">
      <w:pPr>
        <w:rPr>
          <w:lang w:val="lt-LT"/>
        </w:rPr>
      </w:pPr>
    </w:p>
    <w:p w14:paraId="28B4E9C4" w14:textId="77777777" w:rsidR="00A77B3E" w:rsidRPr="009201B2" w:rsidRDefault="00003C2A">
      <w:pPr>
        <w:jc w:val="center"/>
        <w:rPr>
          <w:color w:val="000000"/>
          <w:sz w:val="32"/>
          <w:lang w:val="lt-LT"/>
        </w:rPr>
      </w:pPr>
      <w:r w:rsidRPr="009201B2">
        <w:rPr>
          <w:color w:val="000000"/>
          <w:sz w:val="32"/>
          <w:lang w:val="lt-LT"/>
        </w:rPr>
        <w:t>PMIF, VSF ir SVVP taikoma SFC2021 programa</w:t>
      </w:r>
    </w:p>
    <w:p w14:paraId="3F78C5FE" w14:textId="77777777" w:rsidR="00A77B3E" w:rsidRPr="009201B2" w:rsidRDefault="00A77B3E">
      <w:pPr>
        <w:jc w:val="center"/>
        <w:rPr>
          <w:color w:val="000000"/>
          <w:sz w:val="32"/>
          <w:lang w:val="lt-LT"/>
        </w:rPr>
      </w:pPr>
    </w:p>
    <w:p w14:paraId="1750672F" w14:textId="77777777" w:rsidR="00A77B3E" w:rsidRPr="009201B2" w:rsidRDefault="00A77B3E">
      <w:pPr>
        <w:jc w:val="center"/>
        <w:rPr>
          <w:color w:val="000000"/>
          <w:sz w:val="3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535D32" w:rsidRPr="009201B2" w14:paraId="1289F53C" w14:textId="77777777">
        <w:trPr>
          <w:trHeight w:val="240"/>
        </w:trPr>
        <w:tc>
          <w:tcPr>
            <w:tcW w:w="1667" w:type="pct"/>
            <w:tcMar>
              <w:left w:w="100" w:type="dxa"/>
              <w:right w:w="100" w:type="dxa"/>
            </w:tcMar>
          </w:tcPr>
          <w:p w14:paraId="02933B9D" w14:textId="77777777" w:rsidR="00A77B3E" w:rsidRPr="009201B2" w:rsidRDefault="00003C2A">
            <w:pPr>
              <w:rPr>
                <w:color w:val="000000"/>
                <w:lang w:val="lt-LT"/>
              </w:rPr>
            </w:pPr>
            <w:r w:rsidRPr="009201B2">
              <w:rPr>
                <w:color w:val="000000"/>
                <w:lang w:val="lt-LT"/>
              </w:rPr>
              <w:t>CCI numeris</w:t>
            </w:r>
          </w:p>
        </w:tc>
        <w:tc>
          <w:tcPr>
            <w:tcW w:w="1667" w:type="pct"/>
            <w:tcMar>
              <w:left w:w="100" w:type="dxa"/>
              <w:right w:w="100" w:type="dxa"/>
            </w:tcMar>
          </w:tcPr>
          <w:p w14:paraId="656298BA" w14:textId="77777777" w:rsidR="00A77B3E" w:rsidRPr="009201B2" w:rsidRDefault="00003C2A">
            <w:pPr>
              <w:rPr>
                <w:color w:val="000000"/>
                <w:lang w:val="lt-LT"/>
              </w:rPr>
            </w:pPr>
            <w:r w:rsidRPr="009201B2">
              <w:rPr>
                <w:color w:val="000000"/>
                <w:lang w:val="lt-LT"/>
              </w:rPr>
              <w:t>2021LT65ISPR001</w:t>
            </w:r>
          </w:p>
        </w:tc>
      </w:tr>
      <w:tr w:rsidR="00535D32" w:rsidRPr="009201B2" w14:paraId="43A8F16D" w14:textId="77777777">
        <w:trPr>
          <w:trHeight w:val="240"/>
        </w:trPr>
        <w:tc>
          <w:tcPr>
            <w:tcW w:w="1667" w:type="pct"/>
            <w:tcMar>
              <w:left w:w="100" w:type="dxa"/>
              <w:right w:w="100" w:type="dxa"/>
            </w:tcMar>
          </w:tcPr>
          <w:p w14:paraId="5191CB39" w14:textId="77777777" w:rsidR="00A77B3E" w:rsidRPr="009201B2" w:rsidRDefault="00003C2A">
            <w:pPr>
              <w:rPr>
                <w:color w:val="000000"/>
                <w:lang w:val="lt-LT"/>
              </w:rPr>
            </w:pPr>
            <w:r w:rsidRPr="009201B2">
              <w:rPr>
                <w:color w:val="000000"/>
                <w:lang w:val="lt-LT"/>
              </w:rPr>
              <w:t>Pavadinimas anglų kalba</w:t>
            </w:r>
          </w:p>
        </w:tc>
        <w:tc>
          <w:tcPr>
            <w:tcW w:w="1667" w:type="pct"/>
            <w:tcMar>
              <w:left w:w="100" w:type="dxa"/>
              <w:right w:w="100" w:type="dxa"/>
            </w:tcMar>
          </w:tcPr>
          <w:p w14:paraId="612E2E09" w14:textId="77777777" w:rsidR="00A77B3E" w:rsidRPr="009201B2" w:rsidRDefault="00003C2A">
            <w:pPr>
              <w:rPr>
                <w:color w:val="000000"/>
                <w:lang w:val="lt-LT"/>
              </w:rPr>
            </w:pPr>
            <w:r w:rsidRPr="009201B2">
              <w:rPr>
                <w:color w:val="000000"/>
                <w:lang w:val="lt-LT"/>
              </w:rPr>
              <w:t>Programme Lithuania - ISF</w:t>
            </w:r>
          </w:p>
        </w:tc>
      </w:tr>
      <w:tr w:rsidR="00535D32" w:rsidRPr="009201B2" w14:paraId="7EC26FA7" w14:textId="77777777">
        <w:trPr>
          <w:trHeight w:val="240"/>
        </w:trPr>
        <w:tc>
          <w:tcPr>
            <w:tcW w:w="1667" w:type="pct"/>
            <w:tcMar>
              <w:left w:w="100" w:type="dxa"/>
              <w:right w:w="100" w:type="dxa"/>
            </w:tcMar>
          </w:tcPr>
          <w:p w14:paraId="4342BA7D" w14:textId="77777777" w:rsidR="00A77B3E" w:rsidRPr="009201B2" w:rsidRDefault="00003C2A">
            <w:pPr>
              <w:rPr>
                <w:color w:val="000000"/>
                <w:lang w:val="lt-LT"/>
              </w:rPr>
            </w:pPr>
            <w:r w:rsidRPr="009201B2">
              <w:rPr>
                <w:color w:val="000000"/>
                <w:lang w:val="lt-LT"/>
              </w:rPr>
              <w:t>Pavadinimas nacionaline (-ėmis) kalba (-omis)</w:t>
            </w:r>
          </w:p>
        </w:tc>
        <w:tc>
          <w:tcPr>
            <w:tcW w:w="1667" w:type="pct"/>
            <w:tcMar>
              <w:left w:w="100" w:type="dxa"/>
              <w:right w:w="100" w:type="dxa"/>
            </w:tcMar>
          </w:tcPr>
          <w:p w14:paraId="71F929B8" w14:textId="77777777" w:rsidR="00A77B3E" w:rsidRPr="009201B2" w:rsidRDefault="00003C2A">
            <w:pPr>
              <w:rPr>
                <w:color w:val="000000"/>
                <w:lang w:val="lt-LT"/>
              </w:rPr>
            </w:pPr>
            <w:r w:rsidRPr="009201B2">
              <w:rPr>
                <w:color w:val="000000"/>
                <w:lang w:val="lt-LT"/>
              </w:rPr>
              <w:t>LT - Programme Lithuania - ISF</w:t>
            </w:r>
          </w:p>
        </w:tc>
      </w:tr>
      <w:tr w:rsidR="00535D32" w:rsidRPr="009201B2" w14:paraId="3C8D26E3" w14:textId="77777777">
        <w:trPr>
          <w:trHeight w:val="240"/>
        </w:trPr>
        <w:tc>
          <w:tcPr>
            <w:tcW w:w="1667" w:type="pct"/>
            <w:tcMar>
              <w:left w:w="100" w:type="dxa"/>
              <w:right w:w="100" w:type="dxa"/>
            </w:tcMar>
          </w:tcPr>
          <w:p w14:paraId="04424498" w14:textId="77777777" w:rsidR="00A77B3E" w:rsidRPr="009201B2" w:rsidRDefault="00003C2A">
            <w:pPr>
              <w:rPr>
                <w:color w:val="000000"/>
                <w:lang w:val="lt-LT"/>
              </w:rPr>
            </w:pPr>
            <w:r w:rsidRPr="009201B2">
              <w:rPr>
                <w:color w:val="000000"/>
                <w:lang w:val="lt-LT"/>
              </w:rPr>
              <w:t>Versija</w:t>
            </w:r>
          </w:p>
        </w:tc>
        <w:tc>
          <w:tcPr>
            <w:tcW w:w="1667" w:type="pct"/>
            <w:tcMar>
              <w:left w:w="100" w:type="dxa"/>
              <w:right w:w="100" w:type="dxa"/>
            </w:tcMar>
          </w:tcPr>
          <w:p w14:paraId="7D4E367C" w14:textId="77777777" w:rsidR="00A77B3E" w:rsidRPr="009201B2" w:rsidRDefault="00003C2A">
            <w:pPr>
              <w:rPr>
                <w:color w:val="000000"/>
                <w:lang w:val="lt-LT"/>
              </w:rPr>
            </w:pPr>
            <w:r w:rsidRPr="009201B2">
              <w:rPr>
                <w:color w:val="000000"/>
                <w:lang w:val="lt-LT"/>
              </w:rPr>
              <w:t>1.3</w:t>
            </w:r>
          </w:p>
        </w:tc>
      </w:tr>
      <w:tr w:rsidR="00535D32" w:rsidRPr="009201B2" w14:paraId="4F165E2D" w14:textId="77777777">
        <w:trPr>
          <w:trHeight w:val="240"/>
        </w:trPr>
        <w:tc>
          <w:tcPr>
            <w:tcW w:w="1667" w:type="pct"/>
            <w:tcMar>
              <w:left w:w="100" w:type="dxa"/>
              <w:right w:w="100" w:type="dxa"/>
            </w:tcMar>
          </w:tcPr>
          <w:p w14:paraId="0E19A56A" w14:textId="77777777" w:rsidR="00A77B3E" w:rsidRPr="009201B2" w:rsidRDefault="00003C2A">
            <w:pPr>
              <w:rPr>
                <w:color w:val="000000"/>
                <w:lang w:val="lt-LT"/>
              </w:rPr>
            </w:pPr>
            <w:r w:rsidRPr="009201B2">
              <w:rPr>
                <w:color w:val="000000"/>
                <w:lang w:val="lt-LT"/>
              </w:rPr>
              <w:t>Pirmieji metai</w:t>
            </w:r>
          </w:p>
        </w:tc>
        <w:tc>
          <w:tcPr>
            <w:tcW w:w="1667" w:type="pct"/>
            <w:tcMar>
              <w:left w:w="100" w:type="dxa"/>
              <w:right w:w="100" w:type="dxa"/>
            </w:tcMar>
          </w:tcPr>
          <w:p w14:paraId="08EB89E9" w14:textId="77777777" w:rsidR="00A77B3E" w:rsidRPr="009201B2" w:rsidRDefault="00003C2A">
            <w:pPr>
              <w:rPr>
                <w:color w:val="000000"/>
                <w:lang w:val="lt-LT"/>
              </w:rPr>
            </w:pPr>
            <w:r w:rsidRPr="009201B2">
              <w:rPr>
                <w:color w:val="000000"/>
                <w:lang w:val="lt-LT"/>
              </w:rPr>
              <w:t>2021</w:t>
            </w:r>
          </w:p>
        </w:tc>
      </w:tr>
      <w:tr w:rsidR="00535D32" w:rsidRPr="009201B2" w14:paraId="2BEDB5D3" w14:textId="77777777">
        <w:trPr>
          <w:trHeight w:val="240"/>
        </w:trPr>
        <w:tc>
          <w:tcPr>
            <w:tcW w:w="1667" w:type="pct"/>
            <w:tcMar>
              <w:left w:w="100" w:type="dxa"/>
              <w:right w:w="100" w:type="dxa"/>
            </w:tcMar>
          </w:tcPr>
          <w:p w14:paraId="2827B679" w14:textId="77777777" w:rsidR="00A77B3E" w:rsidRPr="009201B2" w:rsidRDefault="00003C2A">
            <w:pPr>
              <w:rPr>
                <w:color w:val="000000"/>
                <w:lang w:val="lt-LT"/>
              </w:rPr>
            </w:pPr>
            <w:r w:rsidRPr="009201B2">
              <w:rPr>
                <w:color w:val="000000"/>
                <w:lang w:val="lt-LT"/>
              </w:rPr>
              <w:t>Paskutinieji metai</w:t>
            </w:r>
          </w:p>
        </w:tc>
        <w:tc>
          <w:tcPr>
            <w:tcW w:w="1667" w:type="pct"/>
            <w:tcMar>
              <w:left w:w="100" w:type="dxa"/>
              <w:right w:w="100" w:type="dxa"/>
            </w:tcMar>
          </w:tcPr>
          <w:p w14:paraId="168FF66F" w14:textId="77777777" w:rsidR="00A77B3E" w:rsidRPr="009201B2" w:rsidRDefault="00003C2A">
            <w:pPr>
              <w:rPr>
                <w:color w:val="000000"/>
                <w:lang w:val="lt-LT"/>
              </w:rPr>
            </w:pPr>
            <w:r w:rsidRPr="009201B2">
              <w:rPr>
                <w:color w:val="000000"/>
                <w:lang w:val="lt-LT"/>
              </w:rPr>
              <w:t>2027</w:t>
            </w:r>
          </w:p>
        </w:tc>
      </w:tr>
      <w:tr w:rsidR="00535D32" w:rsidRPr="009201B2" w14:paraId="0D4D5C15" w14:textId="77777777">
        <w:trPr>
          <w:trHeight w:val="240"/>
        </w:trPr>
        <w:tc>
          <w:tcPr>
            <w:tcW w:w="1667" w:type="pct"/>
            <w:tcMar>
              <w:left w:w="100" w:type="dxa"/>
              <w:right w:w="100" w:type="dxa"/>
            </w:tcMar>
          </w:tcPr>
          <w:p w14:paraId="59652DA7" w14:textId="77777777" w:rsidR="00A77B3E" w:rsidRPr="009201B2" w:rsidRDefault="00003C2A">
            <w:pPr>
              <w:rPr>
                <w:color w:val="000000"/>
                <w:lang w:val="lt-LT"/>
              </w:rPr>
            </w:pPr>
            <w:r w:rsidRPr="009201B2">
              <w:rPr>
                <w:color w:val="000000"/>
                <w:lang w:val="lt-LT"/>
              </w:rPr>
              <w:t>Tinkama finansuoti nuo</w:t>
            </w:r>
          </w:p>
        </w:tc>
        <w:tc>
          <w:tcPr>
            <w:tcW w:w="1667" w:type="pct"/>
            <w:tcMar>
              <w:left w:w="100" w:type="dxa"/>
              <w:right w:w="100" w:type="dxa"/>
            </w:tcMar>
          </w:tcPr>
          <w:p w14:paraId="19953CE2" w14:textId="77777777" w:rsidR="00A77B3E" w:rsidRPr="009201B2" w:rsidRDefault="00003C2A">
            <w:pPr>
              <w:rPr>
                <w:color w:val="000000"/>
                <w:lang w:val="lt-LT"/>
              </w:rPr>
            </w:pPr>
            <w:r w:rsidRPr="009201B2">
              <w:rPr>
                <w:color w:val="000000"/>
                <w:lang w:val="lt-LT"/>
              </w:rPr>
              <w:t>2021-01-01</w:t>
            </w:r>
          </w:p>
        </w:tc>
      </w:tr>
      <w:tr w:rsidR="00535D32" w:rsidRPr="009201B2" w14:paraId="58D16B82" w14:textId="77777777">
        <w:trPr>
          <w:trHeight w:val="240"/>
        </w:trPr>
        <w:tc>
          <w:tcPr>
            <w:tcW w:w="1667" w:type="pct"/>
            <w:tcMar>
              <w:left w:w="100" w:type="dxa"/>
              <w:right w:w="100" w:type="dxa"/>
            </w:tcMar>
          </w:tcPr>
          <w:p w14:paraId="6BD24B06" w14:textId="77777777" w:rsidR="00A77B3E" w:rsidRPr="009201B2" w:rsidRDefault="00003C2A">
            <w:pPr>
              <w:rPr>
                <w:color w:val="000000"/>
                <w:lang w:val="lt-LT"/>
              </w:rPr>
            </w:pPr>
            <w:r w:rsidRPr="009201B2">
              <w:rPr>
                <w:color w:val="000000"/>
                <w:lang w:val="lt-LT"/>
              </w:rPr>
              <w:t>Tinkama finansuoti iki</w:t>
            </w:r>
          </w:p>
        </w:tc>
        <w:tc>
          <w:tcPr>
            <w:tcW w:w="1667" w:type="pct"/>
            <w:tcMar>
              <w:left w:w="100" w:type="dxa"/>
              <w:right w:w="100" w:type="dxa"/>
            </w:tcMar>
          </w:tcPr>
          <w:p w14:paraId="7D950443" w14:textId="77777777" w:rsidR="00A77B3E" w:rsidRPr="009201B2" w:rsidRDefault="00003C2A">
            <w:pPr>
              <w:rPr>
                <w:color w:val="000000"/>
                <w:lang w:val="lt-LT"/>
              </w:rPr>
            </w:pPr>
            <w:r w:rsidRPr="009201B2">
              <w:rPr>
                <w:color w:val="000000"/>
                <w:lang w:val="lt-LT"/>
              </w:rPr>
              <w:t>2029-12-31</w:t>
            </w:r>
          </w:p>
        </w:tc>
      </w:tr>
      <w:tr w:rsidR="00535D32" w:rsidRPr="009201B2" w14:paraId="364122B4" w14:textId="77777777">
        <w:trPr>
          <w:trHeight w:val="240"/>
        </w:trPr>
        <w:tc>
          <w:tcPr>
            <w:tcW w:w="1667" w:type="pct"/>
            <w:tcMar>
              <w:left w:w="100" w:type="dxa"/>
              <w:right w:w="100" w:type="dxa"/>
            </w:tcMar>
          </w:tcPr>
          <w:p w14:paraId="75164D17" w14:textId="77777777" w:rsidR="00A77B3E" w:rsidRPr="009201B2" w:rsidRDefault="00003C2A">
            <w:pPr>
              <w:rPr>
                <w:color w:val="000000"/>
                <w:lang w:val="lt-LT"/>
              </w:rPr>
            </w:pPr>
            <w:r w:rsidRPr="009201B2">
              <w:rPr>
                <w:color w:val="000000"/>
                <w:lang w:val="lt-LT"/>
              </w:rPr>
              <w:t>Komisijos sprendimo numeris</w:t>
            </w:r>
          </w:p>
        </w:tc>
        <w:tc>
          <w:tcPr>
            <w:tcW w:w="1667" w:type="pct"/>
            <w:tcMar>
              <w:left w:w="100" w:type="dxa"/>
              <w:right w:w="100" w:type="dxa"/>
            </w:tcMar>
          </w:tcPr>
          <w:p w14:paraId="739856A6" w14:textId="77777777" w:rsidR="00A77B3E" w:rsidRPr="009201B2" w:rsidRDefault="00A77B3E">
            <w:pPr>
              <w:rPr>
                <w:color w:val="000000"/>
                <w:lang w:val="lt-LT"/>
              </w:rPr>
            </w:pPr>
          </w:p>
        </w:tc>
      </w:tr>
      <w:tr w:rsidR="00535D32" w:rsidRPr="009201B2" w14:paraId="29665989" w14:textId="77777777">
        <w:trPr>
          <w:trHeight w:val="240"/>
        </w:trPr>
        <w:tc>
          <w:tcPr>
            <w:tcW w:w="1667" w:type="pct"/>
            <w:tcMar>
              <w:left w:w="100" w:type="dxa"/>
              <w:right w:w="100" w:type="dxa"/>
            </w:tcMar>
          </w:tcPr>
          <w:p w14:paraId="7BDD2BBA" w14:textId="77777777" w:rsidR="00A77B3E" w:rsidRPr="009201B2" w:rsidRDefault="00003C2A">
            <w:pPr>
              <w:rPr>
                <w:color w:val="000000"/>
                <w:lang w:val="lt-LT"/>
              </w:rPr>
            </w:pPr>
            <w:r w:rsidRPr="009201B2">
              <w:rPr>
                <w:color w:val="000000"/>
                <w:lang w:val="lt-LT"/>
              </w:rPr>
              <w:t>Komisijos sprendimo data</w:t>
            </w:r>
          </w:p>
        </w:tc>
        <w:tc>
          <w:tcPr>
            <w:tcW w:w="1667" w:type="pct"/>
            <w:tcMar>
              <w:left w:w="100" w:type="dxa"/>
              <w:right w:w="100" w:type="dxa"/>
            </w:tcMar>
          </w:tcPr>
          <w:p w14:paraId="6EE384B0" w14:textId="77777777" w:rsidR="00A77B3E" w:rsidRPr="009201B2" w:rsidRDefault="00A77B3E">
            <w:pPr>
              <w:rPr>
                <w:color w:val="000000"/>
                <w:lang w:val="lt-LT"/>
              </w:rPr>
            </w:pPr>
          </w:p>
        </w:tc>
      </w:tr>
      <w:tr w:rsidR="00535D32" w:rsidRPr="009201B2" w14:paraId="7C51F8CA" w14:textId="77777777">
        <w:trPr>
          <w:trHeight w:val="240"/>
        </w:trPr>
        <w:tc>
          <w:tcPr>
            <w:tcW w:w="1667" w:type="pct"/>
            <w:tcMar>
              <w:left w:w="100" w:type="dxa"/>
              <w:right w:w="100" w:type="dxa"/>
            </w:tcMar>
          </w:tcPr>
          <w:p w14:paraId="5685B183" w14:textId="77777777" w:rsidR="00A77B3E" w:rsidRPr="009201B2" w:rsidRDefault="00003C2A">
            <w:pPr>
              <w:rPr>
                <w:color w:val="000000"/>
                <w:lang w:val="lt-LT"/>
              </w:rPr>
            </w:pPr>
            <w:r w:rsidRPr="009201B2">
              <w:rPr>
                <w:color w:val="000000"/>
                <w:lang w:val="lt-LT"/>
              </w:rPr>
              <w:t>Valstybės narės sprendimo dėl keitimo numeris</w:t>
            </w:r>
          </w:p>
        </w:tc>
        <w:tc>
          <w:tcPr>
            <w:tcW w:w="1667" w:type="pct"/>
            <w:tcMar>
              <w:left w:w="100" w:type="dxa"/>
              <w:right w:w="100" w:type="dxa"/>
            </w:tcMar>
          </w:tcPr>
          <w:p w14:paraId="61F7D923" w14:textId="77777777" w:rsidR="00A77B3E" w:rsidRPr="009201B2" w:rsidRDefault="00A77B3E">
            <w:pPr>
              <w:rPr>
                <w:color w:val="000000"/>
                <w:lang w:val="lt-LT"/>
              </w:rPr>
            </w:pPr>
          </w:p>
        </w:tc>
      </w:tr>
      <w:tr w:rsidR="00535D32" w:rsidRPr="009201B2" w14:paraId="281ECDDE" w14:textId="77777777">
        <w:trPr>
          <w:trHeight w:val="240"/>
        </w:trPr>
        <w:tc>
          <w:tcPr>
            <w:tcW w:w="1667" w:type="pct"/>
            <w:tcMar>
              <w:left w:w="100" w:type="dxa"/>
              <w:right w:w="100" w:type="dxa"/>
            </w:tcMar>
          </w:tcPr>
          <w:p w14:paraId="6FC25EDB" w14:textId="77777777" w:rsidR="00A77B3E" w:rsidRPr="009201B2" w:rsidRDefault="00003C2A">
            <w:pPr>
              <w:rPr>
                <w:color w:val="000000"/>
                <w:lang w:val="lt-LT"/>
              </w:rPr>
            </w:pPr>
            <w:r w:rsidRPr="009201B2">
              <w:rPr>
                <w:color w:val="000000"/>
                <w:lang w:val="lt-LT"/>
              </w:rPr>
              <w:t>Valstybės narės sprendimo dėl keitimo įsigaliojimo data</w:t>
            </w:r>
          </w:p>
        </w:tc>
        <w:tc>
          <w:tcPr>
            <w:tcW w:w="1667" w:type="pct"/>
            <w:tcMar>
              <w:left w:w="100" w:type="dxa"/>
              <w:right w:w="100" w:type="dxa"/>
            </w:tcMar>
          </w:tcPr>
          <w:p w14:paraId="0EBDF2F8" w14:textId="77777777" w:rsidR="00A77B3E" w:rsidRPr="009201B2" w:rsidRDefault="00A77B3E">
            <w:pPr>
              <w:rPr>
                <w:color w:val="000000"/>
                <w:lang w:val="lt-LT"/>
              </w:rPr>
            </w:pPr>
          </w:p>
        </w:tc>
      </w:tr>
      <w:tr w:rsidR="00535D32" w:rsidRPr="009201B2" w14:paraId="1511827D" w14:textId="77777777">
        <w:trPr>
          <w:trHeight w:val="240"/>
        </w:trPr>
        <w:tc>
          <w:tcPr>
            <w:tcW w:w="1667" w:type="pct"/>
            <w:tcMar>
              <w:left w:w="100" w:type="dxa"/>
              <w:right w:w="100" w:type="dxa"/>
            </w:tcMar>
          </w:tcPr>
          <w:p w14:paraId="40CC72D9" w14:textId="77777777" w:rsidR="00A77B3E" w:rsidRPr="009201B2" w:rsidRDefault="00003C2A">
            <w:pPr>
              <w:rPr>
                <w:color w:val="000000"/>
                <w:lang w:val="lt-LT"/>
              </w:rPr>
            </w:pPr>
            <w:r w:rsidRPr="009201B2">
              <w:rPr>
                <w:color w:val="000000"/>
                <w:lang w:val="lt-LT"/>
              </w:rPr>
              <w:t>Ne esminis lėšų perkėlimas (BNR 24 straipsnio 5 dalis)</w:t>
            </w:r>
          </w:p>
        </w:tc>
        <w:tc>
          <w:tcPr>
            <w:tcW w:w="1667" w:type="pct"/>
            <w:tcMar>
              <w:left w:w="100" w:type="dxa"/>
              <w:right w:w="100" w:type="dxa"/>
            </w:tcMar>
          </w:tcPr>
          <w:p w14:paraId="7E5EC752" w14:textId="77777777" w:rsidR="00A77B3E" w:rsidRPr="009201B2" w:rsidRDefault="00003C2A">
            <w:pPr>
              <w:rPr>
                <w:color w:val="000000"/>
                <w:lang w:val="lt-LT"/>
              </w:rPr>
            </w:pPr>
            <w:r w:rsidRPr="009201B2">
              <w:rPr>
                <w:color w:val="000000"/>
                <w:lang w:val="lt-LT"/>
              </w:rPr>
              <w:t>Ne</w:t>
            </w:r>
          </w:p>
        </w:tc>
      </w:tr>
    </w:tbl>
    <w:p w14:paraId="5BC7A5E3" w14:textId="77777777" w:rsidR="00A77B3E" w:rsidRPr="009201B2" w:rsidRDefault="00003C2A">
      <w:pPr>
        <w:jc w:val="center"/>
        <w:rPr>
          <w:b/>
          <w:color w:val="000000"/>
          <w:lang w:val="lt-LT"/>
        </w:rPr>
      </w:pPr>
      <w:r w:rsidRPr="009201B2">
        <w:rPr>
          <w:color w:val="000000"/>
          <w:lang w:val="lt-LT"/>
        </w:rPr>
        <w:br w:type="page"/>
      </w:r>
      <w:r w:rsidRPr="009201B2">
        <w:rPr>
          <w:b/>
          <w:color w:val="000000"/>
          <w:lang w:val="lt-LT"/>
        </w:rPr>
        <w:lastRenderedPageBreak/>
        <w:t>Turinys</w:t>
      </w:r>
    </w:p>
    <w:p w14:paraId="1533E350" w14:textId="77777777" w:rsidR="00A77B3E" w:rsidRPr="009201B2" w:rsidRDefault="00A77B3E">
      <w:pPr>
        <w:jc w:val="center"/>
        <w:rPr>
          <w:color w:val="000000"/>
          <w:lang w:val="lt-LT"/>
        </w:rPr>
      </w:pPr>
    </w:p>
    <w:p w14:paraId="02A4327B" w14:textId="77777777" w:rsidR="00535D32" w:rsidRPr="009201B2" w:rsidRDefault="00003C2A">
      <w:pPr>
        <w:pStyle w:val="Turinys1"/>
        <w:tabs>
          <w:tab w:val="right" w:leader="dot" w:pos="10240"/>
        </w:tabs>
        <w:rPr>
          <w:rFonts w:ascii="Calibri" w:hAnsi="Calibri"/>
          <w:sz w:val="22"/>
          <w:lang w:val="lt-LT"/>
        </w:rPr>
      </w:pPr>
      <w:r w:rsidRPr="009201B2">
        <w:rPr>
          <w:color w:val="000000"/>
          <w:lang w:val="lt-LT"/>
        </w:rPr>
        <w:fldChar w:fldCharType="begin"/>
      </w:r>
      <w:r w:rsidR="00A77B3E" w:rsidRPr="009201B2">
        <w:rPr>
          <w:color w:val="000000"/>
          <w:lang w:val="lt-LT"/>
        </w:rPr>
        <w:instrText>TOC \o "1-9" \z \u \h</w:instrText>
      </w:r>
      <w:r w:rsidRPr="009201B2">
        <w:rPr>
          <w:color w:val="000000"/>
          <w:lang w:val="lt-LT"/>
        </w:rPr>
        <w:fldChar w:fldCharType="separate"/>
      </w:r>
      <w:hyperlink w:anchor="_Toc256000057" w:history="1">
        <w:r w:rsidR="00A77B3E" w:rsidRPr="009201B2">
          <w:rPr>
            <w:rStyle w:val="Hipersaitas"/>
            <w:lang w:val="lt-LT"/>
          </w:rPr>
          <w:t>1. Programos strategija. pagrindiniai uždaviniai ir politinės priemonės</w:t>
        </w:r>
        <w:r w:rsidRPr="009201B2">
          <w:rPr>
            <w:lang w:val="lt-LT"/>
          </w:rPr>
          <w:tab/>
        </w:r>
        <w:r w:rsidRPr="009201B2">
          <w:rPr>
            <w:lang w:val="lt-LT"/>
          </w:rPr>
          <w:fldChar w:fldCharType="begin"/>
        </w:r>
        <w:r w:rsidRPr="009201B2">
          <w:rPr>
            <w:lang w:val="lt-LT"/>
          </w:rPr>
          <w:instrText xml:space="preserve"> PAGEREF _Toc256000057 \h </w:instrText>
        </w:r>
        <w:r w:rsidRPr="009201B2">
          <w:rPr>
            <w:lang w:val="lt-LT"/>
          </w:rPr>
        </w:r>
        <w:r w:rsidRPr="009201B2">
          <w:rPr>
            <w:lang w:val="lt-LT"/>
          </w:rPr>
          <w:fldChar w:fldCharType="separate"/>
        </w:r>
        <w:r w:rsidRPr="009201B2">
          <w:rPr>
            <w:lang w:val="lt-LT"/>
          </w:rPr>
          <w:t>4</w:t>
        </w:r>
        <w:r w:rsidRPr="009201B2">
          <w:rPr>
            <w:lang w:val="lt-LT"/>
          </w:rPr>
          <w:fldChar w:fldCharType="end"/>
        </w:r>
      </w:hyperlink>
    </w:p>
    <w:p w14:paraId="703157EC" w14:textId="77777777" w:rsidR="00535D32" w:rsidRPr="009201B2" w:rsidRDefault="004A5EA0">
      <w:pPr>
        <w:pStyle w:val="Turinys1"/>
        <w:tabs>
          <w:tab w:val="right" w:leader="dot" w:pos="10240"/>
        </w:tabs>
        <w:rPr>
          <w:rFonts w:ascii="Calibri" w:hAnsi="Calibri"/>
          <w:sz w:val="22"/>
          <w:lang w:val="lt-LT"/>
        </w:rPr>
      </w:pPr>
      <w:hyperlink w:anchor="_Toc256000058" w:history="1">
        <w:r w:rsidR="00A77B3E" w:rsidRPr="009201B2">
          <w:rPr>
            <w:rStyle w:val="Hipersaitas"/>
            <w:lang w:val="lt-LT"/>
          </w:rPr>
          <w:t>2. Konkretūs tikslai ir techninė parama</w:t>
        </w:r>
        <w:r w:rsidR="00003C2A" w:rsidRPr="009201B2">
          <w:rPr>
            <w:lang w:val="lt-LT"/>
          </w:rPr>
          <w:tab/>
        </w:r>
        <w:r w:rsidR="00003C2A" w:rsidRPr="009201B2">
          <w:rPr>
            <w:lang w:val="lt-LT"/>
          </w:rPr>
          <w:fldChar w:fldCharType="begin"/>
        </w:r>
        <w:r w:rsidR="00003C2A" w:rsidRPr="009201B2">
          <w:rPr>
            <w:lang w:val="lt-LT"/>
          </w:rPr>
          <w:instrText xml:space="preserve"> PAGEREF _Toc256000058 \h </w:instrText>
        </w:r>
        <w:r w:rsidR="00003C2A" w:rsidRPr="009201B2">
          <w:rPr>
            <w:lang w:val="lt-LT"/>
          </w:rPr>
        </w:r>
        <w:r w:rsidR="00003C2A" w:rsidRPr="009201B2">
          <w:rPr>
            <w:lang w:val="lt-LT"/>
          </w:rPr>
          <w:fldChar w:fldCharType="separate"/>
        </w:r>
        <w:r w:rsidR="00003C2A" w:rsidRPr="009201B2">
          <w:rPr>
            <w:lang w:val="lt-LT"/>
          </w:rPr>
          <w:t>8</w:t>
        </w:r>
        <w:r w:rsidR="00003C2A" w:rsidRPr="009201B2">
          <w:rPr>
            <w:lang w:val="lt-LT"/>
          </w:rPr>
          <w:fldChar w:fldCharType="end"/>
        </w:r>
      </w:hyperlink>
    </w:p>
    <w:p w14:paraId="3006DE44" w14:textId="77777777" w:rsidR="00535D32" w:rsidRPr="009201B2" w:rsidRDefault="004A5EA0">
      <w:pPr>
        <w:pStyle w:val="Turinys2"/>
        <w:tabs>
          <w:tab w:val="right" w:leader="dot" w:pos="10240"/>
        </w:tabs>
        <w:rPr>
          <w:rFonts w:ascii="Calibri" w:hAnsi="Calibri"/>
          <w:sz w:val="22"/>
          <w:lang w:val="lt-LT"/>
        </w:rPr>
      </w:pPr>
      <w:hyperlink w:anchor="_Toc256000059" w:history="1">
        <w:r w:rsidR="00A77B3E" w:rsidRPr="009201B2">
          <w:rPr>
            <w:rStyle w:val="Hipersaitas"/>
            <w:lang w:val="lt-LT"/>
          </w:rPr>
          <w:t>2.1. Konkretus tikslas: 1. Keitimąsis informacija</w:t>
        </w:r>
        <w:r w:rsidR="00003C2A" w:rsidRPr="009201B2">
          <w:rPr>
            <w:lang w:val="lt-LT"/>
          </w:rPr>
          <w:tab/>
        </w:r>
        <w:r w:rsidR="00003C2A" w:rsidRPr="009201B2">
          <w:rPr>
            <w:lang w:val="lt-LT"/>
          </w:rPr>
          <w:fldChar w:fldCharType="begin"/>
        </w:r>
        <w:r w:rsidR="00003C2A" w:rsidRPr="009201B2">
          <w:rPr>
            <w:lang w:val="lt-LT"/>
          </w:rPr>
          <w:instrText xml:space="preserve"> PAGEREF _Toc256000059 \h </w:instrText>
        </w:r>
        <w:r w:rsidR="00003C2A" w:rsidRPr="009201B2">
          <w:rPr>
            <w:lang w:val="lt-LT"/>
          </w:rPr>
        </w:r>
        <w:r w:rsidR="00003C2A" w:rsidRPr="009201B2">
          <w:rPr>
            <w:lang w:val="lt-LT"/>
          </w:rPr>
          <w:fldChar w:fldCharType="separate"/>
        </w:r>
        <w:r w:rsidR="00003C2A" w:rsidRPr="009201B2">
          <w:rPr>
            <w:lang w:val="lt-LT"/>
          </w:rPr>
          <w:t>9</w:t>
        </w:r>
        <w:r w:rsidR="00003C2A" w:rsidRPr="009201B2">
          <w:rPr>
            <w:lang w:val="lt-LT"/>
          </w:rPr>
          <w:fldChar w:fldCharType="end"/>
        </w:r>
      </w:hyperlink>
    </w:p>
    <w:p w14:paraId="1289A5E8" w14:textId="77777777" w:rsidR="00535D32" w:rsidRPr="009201B2" w:rsidRDefault="004A5EA0">
      <w:pPr>
        <w:pStyle w:val="Turinys3"/>
        <w:tabs>
          <w:tab w:val="right" w:leader="dot" w:pos="10240"/>
        </w:tabs>
        <w:rPr>
          <w:rFonts w:ascii="Calibri" w:hAnsi="Calibri"/>
          <w:sz w:val="22"/>
          <w:lang w:val="lt-LT"/>
        </w:rPr>
      </w:pPr>
      <w:hyperlink w:anchor="_Toc256000060" w:history="1">
        <w:r w:rsidR="00A77B3E" w:rsidRPr="009201B2">
          <w:rPr>
            <w:rStyle w:val="Hipersaitas"/>
            <w:lang w:val="lt-LT"/>
          </w:rPr>
          <w:t>2.1.1. Konkretaus tikslo aprašymas</w:t>
        </w:r>
        <w:r w:rsidR="00003C2A" w:rsidRPr="009201B2">
          <w:rPr>
            <w:lang w:val="lt-LT"/>
          </w:rPr>
          <w:tab/>
        </w:r>
        <w:r w:rsidR="00003C2A" w:rsidRPr="009201B2">
          <w:rPr>
            <w:lang w:val="lt-LT"/>
          </w:rPr>
          <w:fldChar w:fldCharType="begin"/>
        </w:r>
        <w:r w:rsidR="00003C2A" w:rsidRPr="009201B2">
          <w:rPr>
            <w:lang w:val="lt-LT"/>
          </w:rPr>
          <w:instrText xml:space="preserve"> PAGEREF _Toc256000060 \h </w:instrText>
        </w:r>
        <w:r w:rsidR="00003C2A" w:rsidRPr="009201B2">
          <w:rPr>
            <w:lang w:val="lt-LT"/>
          </w:rPr>
        </w:r>
        <w:r w:rsidR="00003C2A" w:rsidRPr="009201B2">
          <w:rPr>
            <w:lang w:val="lt-LT"/>
          </w:rPr>
          <w:fldChar w:fldCharType="separate"/>
        </w:r>
        <w:r w:rsidR="00003C2A" w:rsidRPr="009201B2">
          <w:rPr>
            <w:lang w:val="lt-LT"/>
          </w:rPr>
          <w:t>9</w:t>
        </w:r>
        <w:r w:rsidR="00003C2A" w:rsidRPr="009201B2">
          <w:rPr>
            <w:lang w:val="lt-LT"/>
          </w:rPr>
          <w:fldChar w:fldCharType="end"/>
        </w:r>
      </w:hyperlink>
    </w:p>
    <w:p w14:paraId="45AE6888" w14:textId="77777777" w:rsidR="00535D32" w:rsidRPr="009201B2" w:rsidRDefault="004A5EA0">
      <w:pPr>
        <w:pStyle w:val="Turinys3"/>
        <w:tabs>
          <w:tab w:val="right" w:leader="dot" w:pos="10240"/>
        </w:tabs>
        <w:rPr>
          <w:rFonts w:ascii="Calibri" w:hAnsi="Calibri"/>
          <w:sz w:val="22"/>
          <w:lang w:val="lt-LT"/>
        </w:rPr>
      </w:pPr>
      <w:hyperlink w:anchor="_Toc256000061" w:history="1">
        <w:r w:rsidR="00A77B3E" w:rsidRPr="009201B2">
          <w:rPr>
            <w:rStyle w:val="Hipersaitas"/>
            <w:lang w:val="lt-LT"/>
          </w:rPr>
          <w:t>2.1.2.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_Toc256000061 \h </w:instrText>
        </w:r>
        <w:r w:rsidR="00003C2A" w:rsidRPr="009201B2">
          <w:rPr>
            <w:lang w:val="lt-LT"/>
          </w:rPr>
        </w:r>
        <w:r w:rsidR="00003C2A" w:rsidRPr="009201B2">
          <w:rPr>
            <w:lang w:val="lt-LT"/>
          </w:rPr>
          <w:fldChar w:fldCharType="separate"/>
        </w:r>
        <w:r w:rsidR="00003C2A" w:rsidRPr="009201B2">
          <w:rPr>
            <w:lang w:val="lt-LT"/>
          </w:rPr>
          <w:t>13</w:t>
        </w:r>
        <w:r w:rsidR="00003C2A" w:rsidRPr="009201B2">
          <w:rPr>
            <w:lang w:val="lt-LT"/>
          </w:rPr>
          <w:fldChar w:fldCharType="end"/>
        </w:r>
      </w:hyperlink>
    </w:p>
    <w:p w14:paraId="4EED0C89" w14:textId="77777777" w:rsidR="00535D32" w:rsidRPr="009201B2" w:rsidRDefault="004A5EA0">
      <w:pPr>
        <w:pStyle w:val="Turinys4"/>
        <w:tabs>
          <w:tab w:val="right" w:leader="dot" w:pos="10240"/>
        </w:tabs>
        <w:rPr>
          <w:rFonts w:ascii="Calibri" w:hAnsi="Calibri"/>
          <w:sz w:val="22"/>
          <w:lang w:val="lt-LT"/>
        </w:rPr>
      </w:pPr>
      <w:hyperlink w:anchor="_Toc256000062" w:history="1">
        <w:r w:rsidR="00A77B3E" w:rsidRPr="009201B2">
          <w:rPr>
            <w:rStyle w:val="Hipersaitas"/>
            <w:lang w:val="lt-LT"/>
          </w:rPr>
          <w:t>1 lentelė. Produkto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_Toc256000062 \h </w:instrText>
        </w:r>
        <w:r w:rsidR="00003C2A" w:rsidRPr="009201B2">
          <w:rPr>
            <w:lang w:val="lt-LT"/>
          </w:rPr>
        </w:r>
        <w:r w:rsidR="00003C2A" w:rsidRPr="009201B2">
          <w:rPr>
            <w:lang w:val="lt-LT"/>
          </w:rPr>
          <w:fldChar w:fldCharType="separate"/>
        </w:r>
        <w:r w:rsidR="00003C2A" w:rsidRPr="009201B2">
          <w:rPr>
            <w:lang w:val="lt-LT"/>
          </w:rPr>
          <w:t>13</w:t>
        </w:r>
        <w:r w:rsidR="00003C2A" w:rsidRPr="009201B2">
          <w:rPr>
            <w:lang w:val="lt-LT"/>
          </w:rPr>
          <w:fldChar w:fldCharType="end"/>
        </w:r>
      </w:hyperlink>
    </w:p>
    <w:p w14:paraId="7706C985" w14:textId="77777777" w:rsidR="00535D32" w:rsidRPr="009201B2" w:rsidRDefault="004A5EA0">
      <w:pPr>
        <w:pStyle w:val="Turinys4"/>
        <w:tabs>
          <w:tab w:val="right" w:leader="dot" w:pos="10240"/>
        </w:tabs>
        <w:rPr>
          <w:rFonts w:ascii="Calibri" w:hAnsi="Calibri"/>
          <w:sz w:val="22"/>
          <w:lang w:val="lt-LT"/>
        </w:rPr>
      </w:pPr>
      <w:hyperlink w:anchor="_Toc256000063" w:history="1">
        <w:r w:rsidR="00A77B3E" w:rsidRPr="009201B2">
          <w:rPr>
            <w:rStyle w:val="Hipersaitas"/>
            <w:lang w:val="lt-LT"/>
          </w:rPr>
          <w:t>2 lentelė. Rezultato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_Toc256000063 \h </w:instrText>
        </w:r>
        <w:r w:rsidR="00003C2A" w:rsidRPr="009201B2">
          <w:rPr>
            <w:lang w:val="lt-LT"/>
          </w:rPr>
        </w:r>
        <w:r w:rsidR="00003C2A" w:rsidRPr="009201B2">
          <w:rPr>
            <w:lang w:val="lt-LT"/>
          </w:rPr>
          <w:fldChar w:fldCharType="separate"/>
        </w:r>
        <w:r w:rsidR="00003C2A" w:rsidRPr="009201B2">
          <w:rPr>
            <w:lang w:val="lt-LT"/>
          </w:rPr>
          <w:t>14</w:t>
        </w:r>
        <w:r w:rsidR="00003C2A" w:rsidRPr="009201B2">
          <w:rPr>
            <w:lang w:val="lt-LT"/>
          </w:rPr>
          <w:fldChar w:fldCharType="end"/>
        </w:r>
      </w:hyperlink>
    </w:p>
    <w:p w14:paraId="5A6DE6C8" w14:textId="77777777" w:rsidR="00535D32" w:rsidRPr="009201B2" w:rsidRDefault="004A5EA0">
      <w:pPr>
        <w:pStyle w:val="Turinys3"/>
        <w:tabs>
          <w:tab w:val="right" w:leader="dot" w:pos="10240"/>
        </w:tabs>
        <w:rPr>
          <w:rFonts w:ascii="Calibri" w:hAnsi="Calibri"/>
          <w:sz w:val="22"/>
          <w:lang w:val="lt-LT"/>
        </w:rPr>
      </w:pPr>
      <w:hyperlink w:anchor="_Toc256000064" w:history="1">
        <w:r w:rsidR="00A77B3E" w:rsidRPr="009201B2">
          <w:rPr>
            <w:rStyle w:val="Hipersaitas"/>
            <w:lang w:val="lt-LT"/>
          </w:rPr>
          <w:t>2.1.3. Preliminarus programos išteklių (ES) paskirstymas pagal intervencinių priemonių rūšį</w:t>
        </w:r>
        <w:r w:rsidR="00003C2A" w:rsidRPr="009201B2">
          <w:rPr>
            <w:lang w:val="lt-LT"/>
          </w:rPr>
          <w:tab/>
        </w:r>
        <w:r w:rsidR="00003C2A" w:rsidRPr="009201B2">
          <w:rPr>
            <w:lang w:val="lt-LT"/>
          </w:rPr>
          <w:fldChar w:fldCharType="begin"/>
        </w:r>
        <w:r w:rsidR="00003C2A" w:rsidRPr="009201B2">
          <w:rPr>
            <w:lang w:val="lt-LT"/>
          </w:rPr>
          <w:instrText xml:space="preserve"> PAGEREF _Toc256000064 \h </w:instrText>
        </w:r>
        <w:r w:rsidR="00003C2A" w:rsidRPr="009201B2">
          <w:rPr>
            <w:lang w:val="lt-LT"/>
          </w:rPr>
        </w:r>
        <w:r w:rsidR="00003C2A" w:rsidRPr="009201B2">
          <w:rPr>
            <w:lang w:val="lt-LT"/>
          </w:rPr>
          <w:fldChar w:fldCharType="separate"/>
        </w:r>
        <w:r w:rsidR="00003C2A" w:rsidRPr="009201B2">
          <w:rPr>
            <w:lang w:val="lt-LT"/>
          </w:rPr>
          <w:t>16</w:t>
        </w:r>
        <w:r w:rsidR="00003C2A" w:rsidRPr="009201B2">
          <w:rPr>
            <w:lang w:val="lt-LT"/>
          </w:rPr>
          <w:fldChar w:fldCharType="end"/>
        </w:r>
      </w:hyperlink>
    </w:p>
    <w:p w14:paraId="453B5D0C" w14:textId="77777777" w:rsidR="00535D32" w:rsidRPr="009201B2" w:rsidRDefault="004A5EA0">
      <w:pPr>
        <w:pStyle w:val="Turinys4"/>
        <w:tabs>
          <w:tab w:val="right" w:leader="dot" w:pos="10240"/>
        </w:tabs>
        <w:rPr>
          <w:rFonts w:ascii="Calibri" w:hAnsi="Calibri"/>
          <w:sz w:val="22"/>
          <w:lang w:val="lt-LT"/>
        </w:rPr>
      </w:pPr>
      <w:hyperlink w:anchor="_Toc256000065" w:history="1">
        <w:r w:rsidR="00A77B3E" w:rsidRPr="009201B2">
          <w:rPr>
            <w:rStyle w:val="Hipersaitas"/>
            <w:lang w:val="lt-LT"/>
          </w:rPr>
          <w:t>3 lentelė. Preliminarus paskirstymas</w:t>
        </w:r>
        <w:r w:rsidR="00003C2A" w:rsidRPr="009201B2">
          <w:rPr>
            <w:lang w:val="lt-LT"/>
          </w:rPr>
          <w:tab/>
        </w:r>
        <w:r w:rsidR="00003C2A" w:rsidRPr="009201B2">
          <w:rPr>
            <w:lang w:val="lt-LT"/>
          </w:rPr>
          <w:fldChar w:fldCharType="begin"/>
        </w:r>
        <w:r w:rsidR="00003C2A" w:rsidRPr="009201B2">
          <w:rPr>
            <w:lang w:val="lt-LT"/>
          </w:rPr>
          <w:instrText xml:space="preserve"> PAGEREF _Toc256000065 \h </w:instrText>
        </w:r>
        <w:r w:rsidR="00003C2A" w:rsidRPr="009201B2">
          <w:rPr>
            <w:lang w:val="lt-LT"/>
          </w:rPr>
        </w:r>
        <w:r w:rsidR="00003C2A" w:rsidRPr="009201B2">
          <w:rPr>
            <w:lang w:val="lt-LT"/>
          </w:rPr>
          <w:fldChar w:fldCharType="separate"/>
        </w:r>
        <w:r w:rsidR="00003C2A" w:rsidRPr="009201B2">
          <w:rPr>
            <w:lang w:val="lt-LT"/>
          </w:rPr>
          <w:t>16</w:t>
        </w:r>
        <w:r w:rsidR="00003C2A" w:rsidRPr="009201B2">
          <w:rPr>
            <w:lang w:val="lt-LT"/>
          </w:rPr>
          <w:fldChar w:fldCharType="end"/>
        </w:r>
      </w:hyperlink>
    </w:p>
    <w:p w14:paraId="116D7FC3" w14:textId="77777777" w:rsidR="00535D32" w:rsidRPr="009201B2" w:rsidRDefault="004A5EA0">
      <w:pPr>
        <w:pStyle w:val="Turinys2"/>
        <w:tabs>
          <w:tab w:val="right" w:leader="dot" w:pos="10240"/>
        </w:tabs>
        <w:rPr>
          <w:rFonts w:ascii="Calibri" w:hAnsi="Calibri"/>
          <w:sz w:val="22"/>
          <w:lang w:val="lt-LT"/>
        </w:rPr>
      </w:pPr>
      <w:hyperlink w:anchor="_Toc256000066" w:history="1">
        <w:r w:rsidR="00A77B3E" w:rsidRPr="009201B2">
          <w:rPr>
            <w:rStyle w:val="Hipersaitas"/>
            <w:lang w:val="lt-LT"/>
          </w:rPr>
          <w:t>2.1. Konkretus tikslas: 2. Tarpvalstybinis bendradarbiavimas</w:t>
        </w:r>
        <w:r w:rsidR="00003C2A" w:rsidRPr="009201B2">
          <w:rPr>
            <w:lang w:val="lt-LT"/>
          </w:rPr>
          <w:tab/>
        </w:r>
        <w:r w:rsidR="00003C2A" w:rsidRPr="009201B2">
          <w:rPr>
            <w:lang w:val="lt-LT"/>
          </w:rPr>
          <w:fldChar w:fldCharType="begin"/>
        </w:r>
        <w:r w:rsidR="00003C2A" w:rsidRPr="009201B2">
          <w:rPr>
            <w:lang w:val="lt-LT"/>
          </w:rPr>
          <w:instrText xml:space="preserve"> PAGEREF _Toc256000066 \h </w:instrText>
        </w:r>
        <w:r w:rsidR="00003C2A" w:rsidRPr="009201B2">
          <w:rPr>
            <w:lang w:val="lt-LT"/>
          </w:rPr>
        </w:r>
        <w:r w:rsidR="00003C2A" w:rsidRPr="009201B2">
          <w:rPr>
            <w:lang w:val="lt-LT"/>
          </w:rPr>
          <w:fldChar w:fldCharType="separate"/>
        </w:r>
        <w:r w:rsidR="00003C2A" w:rsidRPr="009201B2">
          <w:rPr>
            <w:lang w:val="lt-LT"/>
          </w:rPr>
          <w:t>17</w:t>
        </w:r>
        <w:r w:rsidR="00003C2A" w:rsidRPr="009201B2">
          <w:rPr>
            <w:lang w:val="lt-LT"/>
          </w:rPr>
          <w:fldChar w:fldCharType="end"/>
        </w:r>
      </w:hyperlink>
    </w:p>
    <w:p w14:paraId="30CB0C9F" w14:textId="77777777" w:rsidR="00535D32" w:rsidRPr="009201B2" w:rsidRDefault="004A5EA0">
      <w:pPr>
        <w:pStyle w:val="Turinys3"/>
        <w:tabs>
          <w:tab w:val="right" w:leader="dot" w:pos="10240"/>
        </w:tabs>
        <w:rPr>
          <w:rFonts w:ascii="Calibri" w:hAnsi="Calibri"/>
          <w:sz w:val="22"/>
          <w:lang w:val="lt-LT"/>
        </w:rPr>
      </w:pPr>
      <w:hyperlink w:anchor="_Toc256000067" w:history="1">
        <w:r w:rsidR="00A77B3E" w:rsidRPr="009201B2">
          <w:rPr>
            <w:rStyle w:val="Hipersaitas"/>
            <w:lang w:val="lt-LT"/>
          </w:rPr>
          <w:t>2.1.1. Konkretaus tikslo aprašymas</w:t>
        </w:r>
        <w:r w:rsidR="00003C2A" w:rsidRPr="009201B2">
          <w:rPr>
            <w:lang w:val="lt-LT"/>
          </w:rPr>
          <w:tab/>
        </w:r>
        <w:r w:rsidR="00003C2A" w:rsidRPr="009201B2">
          <w:rPr>
            <w:lang w:val="lt-LT"/>
          </w:rPr>
          <w:fldChar w:fldCharType="begin"/>
        </w:r>
        <w:r w:rsidR="00003C2A" w:rsidRPr="009201B2">
          <w:rPr>
            <w:lang w:val="lt-LT"/>
          </w:rPr>
          <w:instrText xml:space="preserve"> PAGEREF _Toc256000067 \h </w:instrText>
        </w:r>
        <w:r w:rsidR="00003C2A" w:rsidRPr="009201B2">
          <w:rPr>
            <w:lang w:val="lt-LT"/>
          </w:rPr>
        </w:r>
        <w:r w:rsidR="00003C2A" w:rsidRPr="009201B2">
          <w:rPr>
            <w:lang w:val="lt-LT"/>
          </w:rPr>
          <w:fldChar w:fldCharType="separate"/>
        </w:r>
        <w:r w:rsidR="00003C2A" w:rsidRPr="009201B2">
          <w:rPr>
            <w:lang w:val="lt-LT"/>
          </w:rPr>
          <w:t>17</w:t>
        </w:r>
        <w:r w:rsidR="00003C2A" w:rsidRPr="009201B2">
          <w:rPr>
            <w:lang w:val="lt-LT"/>
          </w:rPr>
          <w:fldChar w:fldCharType="end"/>
        </w:r>
      </w:hyperlink>
    </w:p>
    <w:p w14:paraId="78AFECC0" w14:textId="77777777" w:rsidR="00535D32" w:rsidRPr="009201B2" w:rsidRDefault="004A5EA0">
      <w:pPr>
        <w:pStyle w:val="Turinys3"/>
        <w:tabs>
          <w:tab w:val="right" w:leader="dot" w:pos="10240"/>
        </w:tabs>
        <w:rPr>
          <w:rFonts w:ascii="Calibri" w:hAnsi="Calibri"/>
          <w:sz w:val="22"/>
          <w:lang w:val="lt-LT"/>
        </w:rPr>
      </w:pPr>
      <w:hyperlink w:anchor="_Toc256000068" w:history="1">
        <w:r w:rsidR="00A77B3E" w:rsidRPr="009201B2">
          <w:rPr>
            <w:rStyle w:val="Hipersaitas"/>
            <w:lang w:val="lt-LT"/>
          </w:rPr>
          <w:t>2.1.2.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_Toc256000068 \h </w:instrText>
        </w:r>
        <w:r w:rsidR="00003C2A" w:rsidRPr="009201B2">
          <w:rPr>
            <w:lang w:val="lt-LT"/>
          </w:rPr>
        </w:r>
        <w:r w:rsidR="00003C2A" w:rsidRPr="009201B2">
          <w:rPr>
            <w:lang w:val="lt-LT"/>
          </w:rPr>
          <w:fldChar w:fldCharType="separate"/>
        </w:r>
        <w:r w:rsidR="00003C2A" w:rsidRPr="009201B2">
          <w:rPr>
            <w:lang w:val="lt-LT"/>
          </w:rPr>
          <w:t>19</w:t>
        </w:r>
        <w:r w:rsidR="00003C2A" w:rsidRPr="009201B2">
          <w:rPr>
            <w:lang w:val="lt-LT"/>
          </w:rPr>
          <w:fldChar w:fldCharType="end"/>
        </w:r>
      </w:hyperlink>
    </w:p>
    <w:p w14:paraId="101A7C69" w14:textId="77777777" w:rsidR="00535D32" w:rsidRPr="009201B2" w:rsidRDefault="004A5EA0">
      <w:pPr>
        <w:pStyle w:val="Turinys4"/>
        <w:tabs>
          <w:tab w:val="right" w:leader="dot" w:pos="10240"/>
        </w:tabs>
        <w:rPr>
          <w:rFonts w:ascii="Calibri" w:hAnsi="Calibri"/>
          <w:sz w:val="22"/>
          <w:lang w:val="lt-LT"/>
        </w:rPr>
      </w:pPr>
      <w:hyperlink w:anchor="_Toc256000069" w:history="1">
        <w:r w:rsidR="00A77B3E" w:rsidRPr="009201B2">
          <w:rPr>
            <w:rStyle w:val="Hipersaitas"/>
            <w:lang w:val="lt-LT"/>
          </w:rPr>
          <w:t>1 lentelė. Produkto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_Toc256000069 \h </w:instrText>
        </w:r>
        <w:r w:rsidR="00003C2A" w:rsidRPr="009201B2">
          <w:rPr>
            <w:lang w:val="lt-LT"/>
          </w:rPr>
        </w:r>
        <w:r w:rsidR="00003C2A" w:rsidRPr="009201B2">
          <w:rPr>
            <w:lang w:val="lt-LT"/>
          </w:rPr>
          <w:fldChar w:fldCharType="separate"/>
        </w:r>
        <w:r w:rsidR="00003C2A" w:rsidRPr="009201B2">
          <w:rPr>
            <w:lang w:val="lt-LT"/>
          </w:rPr>
          <w:t>19</w:t>
        </w:r>
        <w:r w:rsidR="00003C2A" w:rsidRPr="009201B2">
          <w:rPr>
            <w:lang w:val="lt-LT"/>
          </w:rPr>
          <w:fldChar w:fldCharType="end"/>
        </w:r>
      </w:hyperlink>
    </w:p>
    <w:p w14:paraId="632388F5" w14:textId="77777777" w:rsidR="00535D32" w:rsidRPr="009201B2" w:rsidRDefault="004A5EA0">
      <w:pPr>
        <w:pStyle w:val="Turinys4"/>
        <w:tabs>
          <w:tab w:val="right" w:leader="dot" w:pos="10240"/>
        </w:tabs>
        <w:rPr>
          <w:rFonts w:ascii="Calibri" w:hAnsi="Calibri"/>
          <w:sz w:val="22"/>
          <w:lang w:val="lt-LT"/>
        </w:rPr>
      </w:pPr>
      <w:hyperlink w:anchor="_Toc256000070" w:history="1">
        <w:r w:rsidR="00A77B3E" w:rsidRPr="009201B2">
          <w:rPr>
            <w:rStyle w:val="Hipersaitas"/>
            <w:lang w:val="lt-LT"/>
          </w:rPr>
          <w:t>2 lentelė. Rezultato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_Toc256000070 \h </w:instrText>
        </w:r>
        <w:r w:rsidR="00003C2A" w:rsidRPr="009201B2">
          <w:rPr>
            <w:lang w:val="lt-LT"/>
          </w:rPr>
        </w:r>
        <w:r w:rsidR="00003C2A" w:rsidRPr="009201B2">
          <w:rPr>
            <w:lang w:val="lt-LT"/>
          </w:rPr>
          <w:fldChar w:fldCharType="separate"/>
        </w:r>
        <w:r w:rsidR="00003C2A" w:rsidRPr="009201B2">
          <w:rPr>
            <w:lang w:val="lt-LT"/>
          </w:rPr>
          <w:t>20</w:t>
        </w:r>
        <w:r w:rsidR="00003C2A" w:rsidRPr="009201B2">
          <w:rPr>
            <w:lang w:val="lt-LT"/>
          </w:rPr>
          <w:fldChar w:fldCharType="end"/>
        </w:r>
      </w:hyperlink>
    </w:p>
    <w:p w14:paraId="6549FD69" w14:textId="77777777" w:rsidR="00535D32" w:rsidRPr="009201B2" w:rsidRDefault="004A5EA0">
      <w:pPr>
        <w:pStyle w:val="Turinys3"/>
        <w:tabs>
          <w:tab w:val="right" w:leader="dot" w:pos="10240"/>
        </w:tabs>
        <w:rPr>
          <w:rFonts w:ascii="Calibri" w:hAnsi="Calibri"/>
          <w:sz w:val="22"/>
          <w:lang w:val="lt-LT"/>
        </w:rPr>
      </w:pPr>
      <w:hyperlink w:anchor="_Toc256000071" w:history="1">
        <w:r w:rsidR="00A77B3E" w:rsidRPr="009201B2">
          <w:rPr>
            <w:rStyle w:val="Hipersaitas"/>
            <w:lang w:val="lt-LT"/>
          </w:rPr>
          <w:t>2.1.3. Preliminarus programos išteklių (ES) paskirstymas pagal intervencinių priemonių rūšį</w:t>
        </w:r>
        <w:r w:rsidR="00003C2A" w:rsidRPr="009201B2">
          <w:rPr>
            <w:lang w:val="lt-LT"/>
          </w:rPr>
          <w:tab/>
        </w:r>
        <w:r w:rsidR="00003C2A" w:rsidRPr="009201B2">
          <w:rPr>
            <w:lang w:val="lt-LT"/>
          </w:rPr>
          <w:fldChar w:fldCharType="begin"/>
        </w:r>
        <w:r w:rsidR="00003C2A" w:rsidRPr="009201B2">
          <w:rPr>
            <w:lang w:val="lt-LT"/>
          </w:rPr>
          <w:instrText xml:space="preserve"> PAGEREF _Toc256000071 \h </w:instrText>
        </w:r>
        <w:r w:rsidR="00003C2A" w:rsidRPr="009201B2">
          <w:rPr>
            <w:lang w:val="lt-LT"/>
          </w:rPr>
        </w:r>
        <w:r w:rsidR="00003C2A" w:rsidRPr="009201B2">
          <w:rPr>
            <w:lang w:val="lt-LT"/>
          </w:rPr>
          <w:fldChar w:fldCharType="separate"/>
        </w:r>
        <w:r w:rsidR="00003C2A" w:rsidRPr="009201B2">
          <w:rPr>
            <w:lang w:val="lt-LT"/>
          </w:rPr>
          <w:t>23</w:t>
        </w:r>
        <w:r w:rsidR="00003C2A" w:rsidRPr="009201B2">
          <w:rPr>
            <w:lang w:val="lt-LT"/>
          </w:rPr>
          <w:fldChar w:fldCharType="end"/>
        </w:r>
      </w:hyperlink>
    </w:p>
    <w:p w14:paraId="628BA040" w14:textId="77777777" w:rsidR="00535D32" w:rsidRPr="009201B2" w:rsidRDefault="004A5EA0">
      <w:pPr>
        <w:pStyle w:val="Turinys4"/>
        <w:tabs>
          <w:tab w:val="right" w:leader="dot" w:pos="10240"/>
        </w:tabs>
        <w:rPr>
          <w:rFonts w:ascii="Calibri" w:hAnsi="Calibri"/>
          <w:sz w:val="22"/>
          <w:lang w:val="lt-LT"/>
        </w:rPr>
      </w:pPr>
      <w:hyperlink w:anchor="_Toc256000072" w:history="1">
        <w:r w:rsidR="00A77B3E" w:rsidRPr="009201B2">
          <w:rPr>
            <w:rStyle w:val="Hipersaitas"/>
            <w:lang w:val="lt-LT"/>
          </w:rPr>
          <w:t>3 lentelė. Preliminarus paskirstymas</w:t>
        </w:r>
        <w:r w:rsidR="00003C2A" w:rsidRPr="009201B2">
          <w:rPr>
            <w:lang w:val="lt-LT"/>
          </w:rPr>
          <w:tab/>
        </w:r>
        <w:r w:rsidR="00003C2A" w:rsidRPr="009201B2">
          <w:rPr>
            <w:lang w:val="lt-LT"/>
          </w:rPr>
          <w:fldChar w:fldCharType="begin"/>
        </w:r>
        <w:r w:rsidR="00003C2A" w:rsidRPr="009201B2">
          <w:rPr>
            <w:lang w:val="lt-LT"/>
          </w:rPr>
          <w:instrText xml:space="preserve"> PAGEREF _Toc256000072 \h </w:instrText>
        </w:r>
        <w:r w:rsidR="00003C2A" w:rsidRPr="009201B2">
          <w:rPr>
            <w:lang w:val="lt-LT"/>
          </w:rPr>
        </w:r>
        <w:r w:rsidR="00003C2A" w:rsidRPr="009201B2">
          <w:rPr>
            <w:lang w:val="lt-LT"/>
          </w:rPr>
          <w:fldChar w:fldCharType="separate"/>
        </w:r>
        <w:r w:rsidR="00003C2A" w:rsidRPr="009201B2">
          <w:rPr>
            <w:lang w:val="lt-LT"/>
          </w:rPr>
          <w:t>23</w:t>
        </w:r>
        <w:r w:rsidR="00003C2A" w:rsidRPr="009201B2">
          <w:rPr>
            <w:lang w:val="lt-LT"/>
          </w:rPr>
          <w:fldChar w:fldCharType="end"/>
        </w:r>
      </w:hyperlink>
    </w:p>
    <w:p w14:paraId="218FA1CD" w14:textId="77777777" w:rsidR="00535D32" w:rsidRPr="009201B2" w:rsidRDefault="004A5EA0">
      <w:pPr>
        <w:pStyle w:val="Turinys2"/>
        <w:tabs>
          <w:tab w:val="right" w:leader="dot" w:pos="10240"/>
        </w:tabs>
        <w:rPr>
          <w:rFonts w:ascii="Calibri" w:hAnsi="Calibri"/>
          <w:sz w:val="22"/>
          <w:lang w:val="lt-LT"/>
        </w:rPr>
      </w:pPr>
      <w:hyperlink w:anchor="_Toc256000073" w:history="1">
        <w:r w:rsidR="00A77B3E" w:rsidRPr="009201B2">
          <w:rPr>
            <w:rStyle w:val="Hipersaitas"/>
            <w:lang w:val="lt-LT"/>
          </w:rPr>
          <w:t>2.1. Konkretus tikslas: 3. Nusikalstamumo prevencija ir kova su juo</w:t>
        </w:r>
        <w:r w:rsidR="00003C2A" w:rsidRPr="009201B2">
          <w:rPr>
            <w:lang w:val="lt-LT"/>
          </w:rPr>
          <w:tab/>
        </w:r>
        <w:r w:rsidR="00003C2A" w:rsidRPr="009201B2">
          <w:rPr>
            <w:lang w:val="lt-LT"/>
          </w:rPr>
          <w:fldChar w:fldCharType="begin"/>
        </w:r>
        <w:r w:rsidR="00003C2A" w:rsidRPr="009201B2">
          <w:rPr>
            <w:lang w:val="lt-LT"/>
          </w:rPr>
          <w:instrText xml:space="preserve"> PAGEREF _Toc256000073 \h </w:instrText>
        </w:r>
        <w:r w:rsidR="00003C2A" w:rsidRPr="009201B2">
          <w:rPr>
            <w:lang w:val="lt-LT"/>
          </w:rPr>
        </w:r>
        <w:r w:rsidR="00003C2A" w:rsidRPr="009201B2">
          <w:rPr>
            <w:lang w:val="lt-LT"/>
          </w:rPr>
          <w:fldChar w:fldCharType="separate"/>
        </w:r>
        <w:r w:rsidR="00003C2A" w:rsidRPr="009201B2">
          <w:rPr>
            <w:lang w:val="lt-LT"/>
          </w:rPr>
          <w:t>24</w:t>
        </w:r>
        <w:r w:rsidR="00003C2A" w:rsidRPr="009201B2">
          <w:rPr>
            <w:lang w:val="lt-LT"/>
          </w:rPr>
          <w:fldChar w:fldCharType="end"/>
        </w:r>
      </w:hyperlink>
    </w:p>
    <w:p w14:paraId="1E3EF431" w14:textId="77777777" w:rsidR="00535D32" w:rsidRPr="009201B2" w:rsidRDefault="004A5EA0">
      <w:pPr>
        <w:pStyle w:val="Turinys3"/>
        <w:tabs>
          <w:tab w:val="right" w:leader="dot" w:pos="10240"/>
        </w:tabs>
        <w:rPr>
          <w:rFonts w:ascii="Calibri" w:hAnsi="Calibri"/>
          <w:sz w:val="22"/>
          <w:lang w:val="lt-LT"/>
        </w:rPr>
      </w:pPr>
      <w:hyperlink w:anchor="_Toc256000074" w:history="1">
        <w:r w:rsidR="00A77B3E" w:rsidRPr="009201B2">
          <w:rPr>
            <w:rStyle w:val="Hipersaitas"/>
            <w:lang w:val="lt-LT"/>
          </w:rPr>
          <w:t>2.1.1. Konkretaus tikslo aprašymas</w:t>
        </w:r>
        <w:r w:rsidR="00003C2A" w:rsidRPr="009201B2">
          <w:rPr>
            <w:lang w:val="lt-LT"/>
          </w:rPr>
          <w:tab/>
        </w:r>
        <w:r w:rsidR="00003C2A" w:rsidRPr="009201B2">
          <w:rPr>
            <w:lang w:val="lt-LT"/>
          </w:rPr>
          <w:fldChar w:fldCharType="begin"/>
        </w:r>
        <w:r w:rsidR="00003C2A" w:rsidRPr="009201B2">
          <w:rPr>
            <w:lang w:val="lt-LT"/>
          </w:rPr>
          <w:instrText xml:space="preserve"> PAGEREF _Toc256000074 \h </w:instrText>
        </w:r>
        <w:r w:rsidR="00003C2A" w:rsidRPr="009201B2">
          <w:rPr>
            <w:lang w:val="lt-LT"/>
          </w:rPr>
        </w:r>
        <w:r w:rsidR="00003C2A" w:rsidRPr="009201B2">
          <w:rPr>
            <w:lang w:val="lt-LT"/>
          </w:rPr>
          <w:fldChar w:fldCharType="separate"/>
        </w:r>
        <w:r w:rsidR="00003C2A" w:rsidRPr="009201B2">
          <w:rPr>
            <w:lang w:val="lt-LT"/>
          </w:rPr>
          <w:t>24</w:t>
        </w:r>
        <w:r w:rsidR="00003C2A" w:rsidRPr="009201B2">
          <w:rPr>
            <w:lang w:val="lt-LT"/>
          </w:rPr>
          <w:fldChar w:fldCharType="end"/>
        </w:r>
      </w:hyperlink>
    </w:p>
    <w:p w14:paraId="702AB08C" w14:textId="77777777" w:rsidR="00535D32" w:rsidRPr="009201B2" w:rsidRDefault="004A5EA0">
      <w:pPr>
        <w:pStyle w:val="Turinys3"/>
        <w:tabs>
          <w:tab w:val="right" w:leader="dot" w:pos="10240"/>
        </w:tabs>
        <w:rPr>
          <w:rFonts w:ascii="Calibri" w:hAnsi="Calibri"/>
          <w:sz w:val="22"/>
          <w:lang w:val="lt-LT"/>
        </w:rPr>
      </w:pPr>
      <w:hyperlink w:anchor="_Toc256000075" w:history="1">
        <w:r w:rsidR="00A77B3E" w:rsidRPr="009201B2">
          <w:rPr>
            <w:rStyle w:val="Hipersaitas"/>
            <w:lang w:val="lt-LT"/>
          </w:rPr>
          <w:t>2.1.2.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_Toc256000075 \h </w:instrText>
        </w:r>
        <w:r w:rsidR="00003C2A" w:rsidRPr="009201B2">
          <w:rPr>
            <w:lang w:val="lt-LT"/>
          </w:rPr>
        </w:r>
        <w:r w:rsidR="00003C2A" w:rsidRPr="009201B2">
          <w:rPr>
            <w:lang w:val="lt-LT"/>
          </w:rPr>
          <w:fldChar w:fldCharType="separate"/>
        </w:r>
        <w:r w:rsidR="00003C2A" w:rsidRPr="009201B2">
          <w:rPr>
            <w:lang w:val="lt-LT"/>
          </w:rPr>
          <w:t>28</w:t>
        </w:r>
        <w:r w:rsidR="00003C2A" w:rsidRPr="009201B2">
          <w:rPr>
            <w:lang w:val="lt-LT"/>
          </w:rPr>
          <w:fldChar w:fldCharType="end"/>
        </w:r>
      </w:hyperlink>
    </w:p>
    <w:p w14:paraId="30C3E644" w14:textId="77777777" w:rsidR="00535D32" w:rsidRPr="009201B2" w:rsidRDefault="004A5EA0">
      <w:pPr>
        <w:pStyle w:val="Turinys4"/>
        <w:tabs>
          <w:tab w:val="right" w:leader="dot" w:pos="10240"/>
        </w:tabs>
        <w:rPr>
          <w:rFonts w:ascii="Calibri" w:hAnsi="Calibri"/>
          <w:sz w:val="22"/>
          <w:lang w:val="lt-LT"/>
        </w:rPr>
      </w:pPr>
      <w:hyperlink w:anchor="_Toc256000076" w:history="1">
        <w:r w:rsidR="00A77B3E" w:rsidRPr="009201B2">
          <w:rPr>
            <w:rStyle w:val="Hipersaitas"/>
            <w:lang w:val="lt-LT"/>
          </w:rPr>
          <w:t>1 lentelė. Produkto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_Toc256000076 \h </w:instrText>
        </w:r>
        <w:r w:rsidR="00003C2A" w:rsidRPr="009201B2">
          <w:rPr>
            <w:lang w:val="lt-LT"/>
          </w:rPr>
        </w:r>
        <w:r w:rsidR="00003C2A" w:rsidRPr="009201B2">
          <w:rPr>
            <w:lang w:val="lt-LT"/>
          </w:rPr>
          <w:fldChar w:fldCharType="separate"/>
        </w:r>
        <w:r w:rsidR="00003C2A" w:rsidRPr="009201B2">
          <w:rPr>
            <w:lang w:val="lt-LT"/>
          </w:rPr>
          <w:t>28</w:t>
        </w:r>
        <w:r w:rsidR="00003C2A" w:rsidRPr="009201B2">
          <w:rPr>
            <w:lang w:val="lt-LT"/>
          </w:rPr>
          <w:fldChar w:fldCharType="end"/>
        </w:r>
      </w:hyperlink>
    </w:p>
    <w:p w14:paraId="66659ED6" w14:textId="77777777" w:rsidR="00535D32" w:rsidRPr="009201B2" w:rsidRDefault="004A5EA0">
      <w:pPr>
        <w:pStyle w:val="Turinys4"/>
        <w:tabs>
          <w:tab w:val="right" w:leader="dot" w:pos="10240"/>
        </w:tabs>
        <w:rPr>
          <w:rFonts w:ascii="Calibri" w:hAnsi="Calibri"/>
          <w:sz w:val="22"/>
          <w:lang w:val="lt-LT"/>
        </w:rPr>
      </w:pPr>
      <w:hyperlink w:anchor="_Toc256000077" w:history="1">
        <w:r w:rsidR="00A77B3E" w:rsidRPr="009201B2">
          <w:rPr>
            <w:rStyle w:val="Hipersaitas"/>
            <w:lang w:val="lt-LT"/>
          </w:rPr>
          <w:t>2 lentelė. Rezultato rodikliai</w:t>
        </w:r>
        <w:r w:rsidR="00003C2A" w:rsidRPr="009201B2">
          <w:rPr>
            <w:lang w:val="lt-LT"/>
          </w:rPr>
          <w:tab/>
        </w:r>
        <w:r w:rsidR="00003C2A" w:rsidRPr="009201B2">
          <w:rPr>
            <w:lang w:val="lt-LT"/>
          </w:rPr>
          <w:fldChar w:fldCharType="begin"/>
        </w:r>
        <w:r w:rsidR="00003C2A" w:rsidRPr="009201B2">
          <w:rPr>
            <w:lang w:val="lt-LT"/>
          </w:rPr>
          <w:instrText xml:space="preserve"> PAGEREF _Toc256000077 \h </w:instrText>
        </w:r>
        <w:r w:rsidR="00003C2A" w:rsidRPr="009201B2">
          <w:rPr>
            <w:lang w:val="lt-LT"/>
          </w:rPr>
        </w:r>
        <w:r w:rsidR="00003C2A" w:rsidRPr="009201B2">
          <w:rPr>
            <w:lang w:val="lt-LT"/>
          </w:rPr>
          <w:fldChar w:fldCharType="separate"/>
        </w:r>
        <w:r w:rsidR="00003C2A" w:rsidRPr="009201B2">
          <w:rPr>
            <w:lang w:val="lt-LT"/>
          </w:rPr>
          <w:t>29</w:t>
        </w:r>
        <w:r w:rsidR="00003C2A" w:rsidRPr="009201B2">
          <w:rPr>
            <w:lang w:val="lt-LT"/>
          </w:rPr>
          <w:fldChar w:fldCharType="end"/>
        </w:r>
      </w:hyperlink>
    </w:p>
    <w:p w14:paraId="638B534D" w14:textId="77777777" w:rsidR="00535D32" w:rsidRPr="009201B2" w:rsidRDefault="004A5EA0">
      <w:pPr>
        <w:pStyle w:val="Turinys3"/>
        <w:tabs>
          <w:tab w:val="right" w:leader="dot" w:pos="10240"/>
        </w:tabs>
        <w:rPr>
          <w:rFonts w:ascii="Calibri" w:hAnsi="Calibri"/>
          <w:sz w:val="22"/>
          <w:lang w:val="lt-LT"/>
        </w:rPr>
      </w:pPr>
      <w:hyperlink w:anchor="_Toc256000078" w:history="1">
        <w:r w:rsidR="00A77B3E" w:rsidRPr="009201B2">
          <w:rPr>
            <w:rStyle w:val="Hipersaitas"/>
            <w:lang w:val="lt-LT"/>
          </w:rPr>
          <w:t>2.1.3. Preliminarus programos išteklių (ES) paskirstymas pagal intervencinių priemonių rūšį</w:t>
        </w:r>
        <w:r w:rsidR="00003C2A" w:rsidRPr="009201B2">
          <w:rPr>
            <w:lang w:val="lt-LT"/>
          </w:rPr>
          <w:tab/>
        </w:r>
        <w:r w:rsidR="00003C2A" w:rsidRPr="009201B2">
          <w:rPr>
            <w:lang w:val="lt-LT"/>
          </w:rPr>
          <w:fldChar w:fldCharType="begin"/>
        </w:r>
        <w:r w:rsidR="00003C2A" w:rsidRPr="009201B2">
          <w:rPr>
            <w:lang w:val="lt-LT"/>
          </w:rPr>
          <w:instrText xml:space="preserve"> PAGEREF _Toc256000078 \h </w:instrText>
        </w:r>
        <w:r w:rsidR="00003C2A" w:rsidRPr="009201B2">
          <w:rPr>
            <w:lang w:val="lt-LT"/>
          </w:rPr>
        </w:r>
        <w:r w:rsidR="00003C2A" w:rsidRPr="009201B2">
          <w:rPr>
            <w:lang w:val="lt-LT"/>
          </w:rPr>
          <w:fldChar w:fldCharType="separate"/>
        </w:r>
        <w:r w:rsidR="00003C2A" w:rsidRPr="009201B2">
          <w:rPr>
            <w:lang w:val="lt-LT"/>
          </w:rPr>
          <w:t>30</w:t>
        </w:r>
        <w:r w:rsidR="00003C2A" w:rsidRPr="009201B2">
          <w:rPr>
            <w:lang w:val="lt-LT"/>
          </w:rPr>
          <w:fldChar w:fldCharType="end"/>
        </w:r>
      </w:hyperlink>
    </w:p>
    <w:p w14:paraId="7307AFD3" w14:textId="77777777" w:rsidR="00535D32" w:rsidRPr="009201B2" w:rsidRDefault="004A5EA0">
      <w:pPr>
        <w:pStyle w:val="Turinys4"/>
        <w:tabs>
          <w:tab w:val="right" w:leader="dot" w:pos="10240"/>
        </w:tabs>
        <w:rPr>
          <w:rFonts w:ascii="Calibri" w:hAnsi="Calibri"/>
          <w:sz w:val="22"/>
          <w:lang w:val="lt-LT"/>
        </w:rPr>
      </w:pPr>
      <w:hyperlink w:anchor="_Toc256000079" w:history="1">
        <w:r w:rsidR="00A77B3E" w:rsidRPr="009201B2">
          <w:rPr>
            <w:rStyle w:val="Hipersaitas"/>
            <w:lang w:val="lt-LT"/>
          </w:rPr>
          <w:t>3 lentelė. Preliminarus paskirstymas</w:t>
        </w:r>
        <w:r w:rsidR="00003C2A" w:rsidRPr="009201B2">
          <w:rPr>
            <w:lang w:val="lt-LT"/>
          </w:rPr>
          <w:tab/>
        </w:r>
        <w:r w:rsidR="00003C2A" w:rsidRPr="009201B2">
          <w:rPr>
            <w:lang w:val="lt-LT"/>
          </w:rPr>
          <w:fldChar w:fldCharType="begin"/>
        </w:r>
        <w:r w:rsidR="00003C2A" w:rsidRPr="009201B2">
          <w:rPr>
            <w:lang w:val="lt-LT"/>
          </w:rPr>
          <w:instrText xml:space="preserve"> PAGEREF _Toc256000079 \h </w:instrText>
        </w:r>
        <w:r w:rsidR="00003C2A" w:rsidRPr="009201B2">
          <w:rPr>
            <w:lang w:val="lt-LT"/>
          </w:rPr>
        </w:r>
        <w:r w:rsidR="00003C2A" w:rsidRPr="009201B2">
          <w:rPr>
            <w:lang w:val="lt-LT"/>
          </w:rPr>
          <w:fldChar w:fldCharType="separate"/>
        </w:r>
        <w:r w:rsidR="00003C2A" w:rsidRPr="009201B2">
          <w:rPr>
            <w:lang w:val="lt-LT"/>
          </w:rPr>
          <w:t>30</w:t>
        </w:r>
        <w:r w:rsidR="00003C2A" w:rsidRPr="009201B2">
          <w:rPr>
            <w:lang w:val="lt-LT"/>
          </w:rPr>
          <w:fldChar w:fldCharType="end"/>
        </w:r>
      </w:hyperlink>
    </w:p>
    <w:p w14:paraId="08F11F5A" w14:textId="77777777" w:rsidR="00535D32" w:rsidRPr="009201B2" w:rsidRDefault="004A5EA0">
      <w:pPr>
        <w:pStyle w:val="Turinys2"/>
        <w:tabs>
          <w:tab w:val="right" w:leader="dot" w:pos="10240"/>
        </w:tabs>
        <w:rPr>
          <w:rFonts w:ascii="Calibri" w:hAnsi="Calibri"/>
          <w:sz w:val="22"/>
          <w:lang w:val="lt-LT"/>
        </w:rPr>
      </w:pPr>
      <w:hyperlink w:anchor="_Toc256000080" w:history="1">
        <w:r w:rsidR="00A77B3E" w:rsidRPr="009201B2">
          <w:rPr>
            <w:rStyle w:val="Hipersaitas"/>
            <w:lang w:val="lt-LT"/>
          </w:rPr>
          <w:t>2.2. Techninė parama: TA.36(5). Techninė pagalba – fiksuoto dydžio (BNR 36 straipsnio 5 dalis)</w:t>
        </w:r>
        <w:r w:rsidR="00003C2A" w:rsidRPr="009201B2">
          <w:rPr>
            <w:lang w:val="lt-LT"/>
          </w:rPr>
          <w:tab/>
        </w:r>
        <w:r w:rsidR="00003C2A" w:rsidRPr="009201B2">
          <w:rPr>
            <w:lang w:val="lt-LT"/>
          </w:rPr>
          <w:fldChar w:fldCharType="begin"/>
        </w:r>
        <w:r w:rsidR="00003C2A" w:rsidRPr="009201B2">
          <w:rPr>
            <w:lang w:val="lt-LT"/>
          </w:rPr>
          <w:instrText xml:space="preserve"> PAGEREF _Toc256000080 \h </w:instrText>
        </w:r>
        <w:r w:rsidR="00003C2A" w:rsidRPr="009201B2">
          <w:rPr>
            <w:lang w:val="lt-LT"/>
          </w:rPr>
        </w:r>
        <w:r w:rsidR="00003C2A" w:rsidRPr="009201B2">
          <w:rPr>
            <w:lang w:val="lt-LT"/>
          </w:rPr>
          <w:fldChar w:fldCharType="separate"/>
        </w:r>
        <w:r w:rsidR="00003C2A" w:rsidRPr="009201B2">
          <w:rPr>
            <w:lang w:val="lt-LT"/>
          </w:rPr>
          <w:t>31</w:t>
        </w:r>
        <w:r w:rsidR="00003C2A" w:rsidRPr="009201B2">
          <w:rPr>
            <w:lang w:val="lt-LT"/>
          </w:rPr>
          <w:fldChar w:fldCharType="end"/>
        </w:r>
      </w:hyperlink>
    </w:p>
    <w:p w14:paraId="254C702D" w14:textId="77777777" w:rsidR="00535D32" w:rsidRPr="009201B2" w:rsidRDefault="004A5EA0">
      <w:pPr>
        <w:pStyle w:val="Turinys3"/>
        <w:tabs>
          <w:tab w:val="right" w:leader="dot" w:pos="10240"/>
        </w:tabs>
        <w:rPr>
          <w:rFonts w:ascii="Calibri" w:hAnsi="Calibri"/>
          <w:sz w:val="22"/>
          <w:lang w:val="lt-LT"/>
        </w:rPr>
      </w:pPr>
      <w:hyperlink w:anchor="_Toc256000081" w:history="1">
        <w:r w:rsidR="00A77B3E" w:rsidRPr="009201B2">
          <w:rPr>
            <w:rStyle w:val="Hipersaitas"/>
            <w:lang w:val="lt-LT"/>
          </w:rPr>
          <w:t>2.2.1. Aprašymas</w:t>
        </w:r>
        <w:r w:rsidR="00003C2A" w:rsidRPr="009201B2">
          <w:rPr>
            <w:lang w:val="lt-LT"/>
          </w:rPr>
          <w:tab/>
        </w:r>
        <w:r w:rsidR="00003C2A" w:rsidRPr="009201B2">
          <w:rPr>
            <w:lang w:val="lt-LT"/>
          </w:rPr>
          <w:fldChar w:fldCharType="begin"/>
        </w:r>
        <w:r w:rsidR="00003C2A" w:rsidRPr="009201B2">
          <w:rPr>
            <w:lang w:val="lt-LT"/>
          </w:rPr>
          <w:instrText xml:space="preserve"> PAGEREF _Toc256000081 \h </w:instrText>
        </w:r>
        <w:r w:rsidR="00003C2A" w:rsidRPr="009201B2">
          <w:rPr>
            <w:lang w:val="lt-LT"/>
          </w:rPr>
        </w:r>
        <w:r w:rsidR="00003C2A" w:rsidRPr="009201B2">
          <w:rPr>
            <w:lang w:val="lt-LT"/>
          </w:rPr>
          <w:fldChar w:fldCharType="separate"/>
        </w:r>
        <w:r w:rsidR="00003C2A" w:rsidRPr="009201B2">
          <w:rPr>
            <w:lang w:val="lt-LT"/>
          </w:rPr>
          <w:t>31</w:t>
        </w:r>
        <w:r w:rsidR="00003C2A" w:rsidRPr="009201B2">
          <w:rPr>
            <w:lang w:val="lt-LT"/>
          </w:rPr>
          <w:fldChar w:fldCharType="end"/>
        </w:r>
      </w:hyperlink>
    </w:p>
    <w:p w14:paraId="007835D5" w14:textId="77777777" w:rsidR="00535D32" w:rsidRPr="009201B2" w:rsidRDefault="004A5EA0">
      <w:pPr>
        <w:pStyle w:val="Turinys3"/>
        <w:tabs>
          <w:tab w:val="right" w:leader="dot" w:pos="10240"/>
        </w:tabs>
        <w:rPr>
          <w:rFonts w:ascii="Calibri" w:hAnsi="Calibri"/>
          <w:sz w:val="22"/>
          <w:lang w:val="lt-LT"/>
        </w:rPr>
      </w:pPr>
      <w:hyperlink w:anchor="_Toc256000082" w:history="1">
        <w:r w:rsidR="00A77B3E" w:rsidRPr="009201B2">
          <w:rPr>
            <w:rStyle w:val="Hipersaitas"/>
            <w:lang w:val="lt-LT"/>
          </w:rPr>
          <w:t>2.2.2. Techninės paramos preliminarus paskirstymas pagal BNR 37 straipsnį</w:t>
        </w:r>
        <w:r w:rsidR="00003C2A" w:rsidRPr="009201B2">
          <w:rPr>
            <w:lang w:val="lt-LT"/>
          </w:rPr>
          <w:tab/>
        </w:r>
        <w:r w:rsidR="00003C2A" w:rsidRPr="009201B2">
          <w:rPr>
            <w:lang w:val="lt-LT"/>
          </w:rPr>
          <w:fldChar w:fldCharType="begin"/>
        </w:r>
        <w:r w:rsidR="00003C2A" w:rsidRPr="009201B2">
          <w:rPr>
            <w:lang w:val="lt-LT"/>
          </w:rPr>
          <w:instrText xml:space="preserve"> PAGEREF _Toc256000082 \h </w:instrText>
        </w:r>
        <w:r w:rsidR="00003C2A" w:rsidRPr="009201B2">
          <w:rPr>
            <w:lang w:val="lt-LT"/>
          </w:rPr>
        </w:r>
        <w:r w:rsidR="00003C2A" w:rsidRPr="009201B2">
          <w:rPr>
            <w:lang w:val="lt-LT"/>
          </w:rPr>
          <w:fldChar w:fldCharType="separate"/>
        </w:r>
        <w:r w:rsidR="00003C2A" w:rsidRPr="009201B2">
          <w:rPr>
            <w:lang w:val="lt-LT"/>
          </w:rPr>
          <w:t>32</w:t>
        </w:r>
        <w:r w:rsidR="00003C2A" w:rsidRPr="009201B2">
          <w:rPr>
            <w:lang w:val="lt-LT"/>
          </w:rPr>
          <w:fldChar w:fldCharType="end"/>
        </w:r>
      </w:hyperlink>
    </w:p>
    <w:p w14:paraId="1EB5EACC" w14:textId="77777777" w:rsidR="00535D32" w:rsidRPr="009201B2" w:rsidRDefault="004A5EA0">
      <w:pPr>
        <w:pStyle w:val="Turinys4"/>
        <w:tabs>
          <w:tab w:val="right" w:leader="dot" w:pos="10240"/>
        </w:tabs>
        <w:rPr>
          <w:rFonts w:ascii="Calibri" w:hAnsi="Calibri"/>
          <w:sz w:val="22"/>
          <w:lang w:val="lt-LT"/>
        </w:rPr>
      </w:pPr>
      <w:hyperlink w:anchor="_Toc256000083" w:history="1">
        <w:r w:rsidR="00A77B3E" w:rsidRPr="009201B2">
          <w:rPr>
            <w:rStyle w:val="Hipersaitas"/>
            <w:lang w:val="lt-LT"/>
          </w:rPr>
          <w:t>4 lentelė. Preliminarus paskirstymas</w:t>
        </w:r>
        <w:r w:rsidR="00003C2A" w:rsidRPr="009201B2">
          <w:rPr>
            <w:lang w:val="lt-LT"/>
          </w:rPr>
          <w:tab/>
        </w:r>
        <w:r w:rsidR="00003C2A" w:rsidRPr="009201B2">
          <w:rPr>
            <w:lang w:val="lt-LT"/>
          </w:rPr>
          <w:fldChar w:fldCharType="begin"/>
        </w:r>
        <w:r w:rsidR="00003C2A" w:rsidRPr="009201B2">
          <w:rPr>
            <w:lang w:val="lt-LT"/>
          </w:rPr>
          <w:instrText xml:space="preserve"> PAGEREF _Toc256000083 \h </w:instrText>
        </w:r>
        <w:r w:rsidR="00003C2A" w:rsidRPr="009201B2">
          <w:rPr>
            <w:lang w:val="lt-LT"/>
          </w:rPr>
        </w:r>
        <w:r w:rsidR="00003C2A" w:rsidRPr="009201B2">
          <w:rPr>
            <w:lang w:val="lt-LT"/>
          </w:rPr>
          <w:fldChar w:fldCharType="separate"/>
        </w:r>
        <w:r w:rsidR="00003C2A" w:rsidRPr="009201B2">
          <w:rPr>
            <w:lang w:val="lt-LT"/>
          </w:rPr>
          <w:t>32</w:t>
        </w:r>
        <w:r w:rsidR="00003C2A" w:rsidRPr="009201B2">
          <w:rPr>
            <w:lang w:val="lt-LT"/>
          </w:rPr>
          <w:fldChar w:fldCharType="end"/>
        </w:r>
      </w:hyperlink>
    </w:p>
    <w:p w14:paraId="43FD535A" w14:textId="77777777" w:rsidR="00535D32" w:rsidRPr="009201B2" w:rsidRDefault="004A5EA0">
      <w:pPr>
        <w:pStyle w:val="Turinys1"/>
        <w:tabs>
          <w:tab w:val="right" w:leader="dot" w:pos="10240"/>
        </w:tabs>
        <w:rPr>
          <w:rFonts w:ascii="Calibri" w:hAnsi="Calibri"/>
          <w:sz w:val="22"/>
          <w:lang w:val="lt-LT"/>
        </w:rPr>
      </w:pPr>
      <w:hyperlink w:anchor="_Toc256000084" w:history="1">
        <w:r w:rsidR="00A77B3E" w:rsidRPr="009201B2">
          <w:rPr>
            <w:rStyle w:val="Hipersaitas"/>
            <w:lang w:val="lt-LT"/>
          </w:rPr>
          <w:t>3. Finansavimo planas</w:t>
        </w:r>
        <w:r w:rsidR="00003C2A" w:rsidRPr="009201B2">
          <w:rPr>
            <w:lang w:val="lt-LT"/>
          </w:rPr>
          <w:tab/>
        </w:r>
        <w:r w:rsidR="00003C2A" w:rsidRPr="009201B2">
          <w:rPr>
            <w:lang w:val="lt-LT"/>
          </w:rPr>
          <w:fldChar w:fldCharType="begin"/>
        </w:r>
        <w:r w:rsidR="00003C2A" w:rsidRPr="009201B2">
          <w:rPr>
            <w:lang w:val="lt-LT"/>
          </w:rPr>
          <w:instrText xml:space="preserve"> PAGEREF _Toc256000084 \h </w:instrText>
        </w:r>
        <w:r w:rsidR="00003C2A" w:rsidRPr="009201B2">
          <w:rPr>
            <w:lang w:val="lt-LT"/>
          </w:rPr>
        </w:r>
        <w:r w:rsidR="00003C2A" w:rsidRPr="009201B2">
          <w:rPr>
            <w:lang w:val="lt-LT"/>
          </w:rPr>
          <w:fldChar w:fldCharType="separate"/>
        </w:r>
        <w:r w:rsidR="00003C2A" w:rsidRPr="009201B2">
          <w:rPr>
            <w:lang w:val="lt-LT"/>
          </w:rPr>
          <w:t>33</w:t>
        </w:r>
        <w:r w:rsidR="00003C2A" w:rsidRPr="009201B2">
          <w:rPr>
            <w:lang w:val="lt-LT"/>
          </w:rPr>
          <w:fldChar w:fldCharType="end"/>
        </w:r>
      </w:hyperlink>
    </w:p>
    <w:p w14:paraId="68736E5C" w14:textId="77777777" w:rsidR="00535D32" w:rsidRPr="009201B2" w:rsidRDefault="004A5EA0">
      <w:pPr>
        <w:pStyle w:val="Turinys2"/>
        <w:tabs>
          <w:tab w:val="right" w:leader="dot" w:pos="10240"/>
        </w:tabs>
        <w:rPr>
          <w:rFonts w:ascii="Calibri" w:hAnsi="Calibri"/>
          <w:sz w:val="22"/>
          <w:lang w:val="lt-LT"/>
        </w:rPr>
      </w:pPr>
      <w:hyperlink w:anchor="_Toc256000085" w:history="1">
        <w:r w:rsidR="00A77B3E" w:rsidRPr="009201B2">
          <w:rPr>
            <w:rStyle w:val="Hipersaitas"/>
            <w:lang w:val="lt-LT"/>
          </w:rPr>
          <w:t>3.1. Finansiniai asignavimai pagal metus</w:t>
        </w:r>
        <w:r w:rsidR="00003C2A" w:rsidRPr="009201B2">
          <w:rPr>
            <w:lang w:val="lt-LT"/>
          </w:rPr>
          <w:tab/>
        </w:r>
        <w:r w:rsidR="00003C2A" w:rsidRPr="009201B2">
          <w:rPr>
            <w:lang w:val="lt-LT"/>
          </w:rPr>
          <w:fldChar w:fldCharType="begin"/>
        </w:r>
        <w:r w:rsidR="00003C2A" w:rsidRPr="009201B2">
          <w:rPr>
            <w:lang w:val="lt-LT"/>
          </w:rPr>
          <w:instrText xml:space="preserve"> PAGEREF _Toc256000085 \h </w:instrText>
        </w:r>
        <w:r w:rsidR="00003C2A" w:rsidRPr="009201B2">
          <w:rPr>
            <w:lang w:val="lt-LT"/>
          </w:rPr>
        </w:r>
        <w:r w:rsidR="00003C2A" w:rsidRPr="009201B2">
          <w:rPr>
            <w:lang w:val="lt-LT"/>
          </w:rPr>
          <w:fldChar w:fldCharType="separate"/>
        </w:r>
        <w:r w:rsidR="00003C2A" w:rsidRPr="009201B2">
          <w:rPr>
            <w:lang w:val="lt-LT"/>
          </w:rPr>
          <w:t>33</w:t>
        </w:r>
        <w:r w:rsidR="00003C2A" w:rsidRPr="009201B2">
          <w:rPr>
            <w:lang w:val="lt-LT"/>
          </w:rPr>
          <w:fldChar w:fldCharType="end"/>
        </w:r>
      </w:hyperlink>
    </w:p>
    <w:p w14:paraId="2F5DACAB" w14:textId="77777777" w:rsidR="00535D32" w:rsidRPr="009201B2" w:rsidRDefault="004A5EA0">
      <w:pPr>
        <w:pStyle w:val="Turinys4"/>
        <w:tabs>
          <w:tab w:val="right" w:leader="dot" w:pos="10240"/>
        </w:tabs>
        <w:rPr>
          <w:rFonts w:ascii="Calibri" w:hAnsi="Calibri"/>
          <w:sz w:val="22"/>
          <w:lang w:val="lt-LT"/>
        </w:rPr>
      </w:pPr>
      <w:hyperlink w:anchor="_Toc256000086" w:history="1">
        <w:r w:rsidR="00A77B3E" w:rsidRPr="009201B2">
          <w:rPr>
            <w:rStyle w:val="Hipersaitas"/>
            <w:lang w:val="lt-LT"/>
          </w:rPr>
          <w:t>5 lentelė. Finansiniai asignavimai pagal metus</w:t>
        </w:r>
        <w:r w:rsidR="00003C2A" w:rsidRPr="009201B2">
          <w:rPr>
            <w:lang w:val="lt-LT"/>
          </w:rPr>
          <w:tab/>
        </w:r>
        <w:r w:rsidR="00003C2A" w:rsidRPr="009201B2">
          <w:rPr>
            <w:lang w:val="lt-LT"/>
          </w:rPr>
          <w:fldChar w:fldCharType="begin"/>
        </w:r>
        <w:r w:rsidR="00003C2A" w:rsidRPr="009201B2">
          <w:rPr>
            <w:lang w:val="lt-LT"/>
          </w:rPr>
          <w:instrText xml:space="preserve"> PAGEREF _Toc256000086 \h </w:instrText>
        </w:r>
        <w:r w:rsidR="00003C2A" w:rsidRPr="009201B2">
          <w:rPr>
            <w:lang w:val="lt-LT"/>
          </w:rPr>
        </w:r>
        <w:r w:rsidR="00003C2A" w:rsidRPr="009201B2">
          <w:rPr>
            <w:lang w:val="lt-LT"/>
          </w:rPr>
          <w:fldChar w:fldCharType="separate"/>
        </w:r>
        <w:r w:rsidR="00003C2A" w:rsidRPr="009201B2">
          <w:rPr>
            <w:lang w:val="lt-LT"/>
          </w:rPr>
          <w:t>33</w:t>
        </w:r>
        <w:r w:rsidR="00003C2A" w:rsidRPr="009201B2">
          <w:rPr>
            <w:lang w:val="lt-LT"/>
          </w:rPr>
          <w:fldChar w:fldCharType="end"/>
        </w:r>
      </w:hyperlink>
    </w:p>
    <w:p w14:paraId="37B5EF84" w14:textId="77777777" w:rsidR="00535D32" w:rsidRPr="009201B2" w:rsidRDefault="004A5EA0">
      <w:pPr>
        <w:pStyle w:val="Turinys2"/>
        <w:tabs>
          <w:tab w:val="right" w:leader="dot" w:pos="10240"/>
        </w:tabs>
        <w:rPr>
          <w:rFonts w:ascii="Calibri" w:hAnsi="Calibri"/>
          <w:sz w:val="22"/>
          <w:lang w:val="lt-LT"/>
        </w:rPr>
      </w:pPr>
      <w:hyperlink w:anchor="_Toc256000087" w:history="1">
        <w:r w:rsidR="00A77B3E" w:rsidRPr="009201B2">
          <w:rPr>
            <w:rStyle w:val="Hipersaitas"/>
            <w:lang w:val="lt-LT"/>
          </w:rPr>
          <w:t>3.2. Visi finansiniai asignavimai</w:t>
        </w:r>
        <w:r w:rsidR="00003C2A" w:rsidRPr="009201B2">
          <w:rPr>
            <w:lang w:val="lt-LT"/>
          </w:rPr>
          <w:tab/>
        </w:r>
        <w:r w:rsidR="00003C2A" w:rsidRPr="009201B2">
          <w:rPr>
            <w:lang w:val="lt-LT"/>
          </w:rPr>
          <w:fldChar w:fldCharType="begin"/>
        </w:r>
        <w:r w:rsidR="00003C2A" w:rsidRPr="009201B2">
          <w:rPr>
            <w:lang w:val="lt-LT"/>
          </w:rPr>
          <w:instrText xml:space="preserve"> PAGEREF _Toc256000087 \h </w:instrText>
        </w:r>
        <w:r w:rsidR="00003C2A" w:rsidRPr="009201B2">
          <w:rPr>
            <w:lang w:val="lt-LT"/>
          </w:rPr>
        </w:r>
        <w:r w:rsidR="00003C2A" w:rsidRPr="009201B2">
          <w:rPr>
            <w:lang w:val="lt-LT"/>
          </w:rPr>
          <w:fldChar w:fldCharType="separate"/>
        </w:r>
        <w:r w:rsidR="00003C2A" w:rsidRPr="009201B2">
          <w:rPr>
            <w:lang w:val="lt-LT"/>
          </w:rPr>
          <w:t>34</w:t>
        </w:r>
        <w:r w:rsidR="00003C2A" w:rsidRPr="009201B2">
          <w:rPr>
            <w:lang w:val="lt-LT"/>
          </w:rPr>
          <w:fldChar w:fldCharType="end"/>
        </w:r>
      </w:hyperlink>
    </w:p>
    <w:p w14:paraId="59B27B29" w14:textId="77777777" w:rsidR="00535D32" w:rsidRPr="009201B2" w:rsidRDefault="004A5EA0">
      <w:pPr>
        <w:pStyle w:val="Turinys4"/>
        <w:tabs>
          <w:tab w:val="right" w:leader="dot" w:pos="10240"/>
        </w:tabs>
        <w:rPr>
          <w:rFonts w:ascii="Calibri" w:hAnsi="Calibri"/>
          <w:sz w:val="22"/>
          <w:lang w:val="lt-LT"/>
        </w:rPr>
      </w:pPr>
      <w:hyperlink w:anchor="_Toc256000088" w:history="1">
        <w:r w:rsidR="00A77B3E" w:rsidRPr="009201B2">
          <w:rPr>
            <w:rStyle w:val="Hipersaitas"/>
            <w:lang w:val="lt-LT"/>
          </w:rPr>
          <w:t>6 lentelė. Visi finansiniai asignavimai pagal fondą ir nacionalinis įnašas</w:t>
        </w:r>
        <w:r w:rsidR="00003C2A" w:rsidRPr="009201B2">
          <w:rPr>
            <w:lang w:val="lt-LT"/>
          </w:rPr>
          <w:tab/>
        </w:r>
        <w:r w:rsidR="00003C2A" w:rsidRPr="009201B2">
          <w:rPr>
            <w:lang w:val="lt-LT"/>
          </w:rPr>
          <w:fldChar w:fldCharType="begin"/>
        </w:r>
        <w:r w:rsidR="00003C2A" w:rsidRPr="009201B2">
          <w:rPr>
            <w:lang w:val="lt-LT"/>
          </w:rPr>
          <w:instrText xml:space="preserve"> PAGEREF _Toc256000088 \h </w:instrText>
        </w:r>
        <w:r w:rsidR="00003C2A" w:rsidRPr="009201B2">
          <w:rPr>
            <w:lang w:val="lt-LT"/>
          </w:rPr>
        </w:r>
        <w:r w:rsidR="00003C2A" w:rsidRPr="009201B2">
          <w:rPr>
            <w:lang w:val="lt-LT"/>
          </w:rPr>
          <w:fldChar w:fldCharType="separate"/>
        </w:r>
        <w:r w:rsidR="00003C2A" w:rsidRPr="009201B2">
          <w:rPr>
            <w:lang w:val="lt-LT"/>
          </w:rPr>
          <w:t>34</w:t>
        </w:r>
        <w:r w:rsidR="00003C2A" w:rsidRPr="009201B2">
          <w:rPr>
            <w:lang w:val="lt-LT"/>
          </w:rPr>
          <w:fldChar w:fldCharType="end"/>
        </w:r>
      </w:hyperlink>
    </w:p>
    <w:p w14:paraId="2F2BB66D" w14:textId="77777777" w:rsidR="00535D32" w:rsidRPr="009201B2" w:rsidRDefault="004A5EA0">
      <w:pPr>
        <w:pStyle w:val="Turinys2"/>
        <w:tabs>
          <w:tab w:val="right" w:leader="dot" w:pos="10240"/>
        </w:tabs>
        <w:rPr>
          <w:rFonts w:ascii="Calibri" w:hAnsi="Calibri"/>
          <w:sz w:val="22"/>
          <w:lang w:val="lt-LT"/>
        </w:rPr>
      </w:pPr>
      <w:hyperlink w:anchor="_Toc256000089" w:history="1">
        <w:r w:rsidR="00A77B3E" w:rsidRPr="009201B2">
          <w:rPr>
            <w:rStyle w:val="Hipersaitas"/>
            <w:lang w:val="lt-LT"/>
          </w:rPr>
          <w:t>3.3. Perkėlimai</w:t>
        </w:r>
        <w:r w:rsidR="00003C2A" w:rsidRPr="009201B2">
          <w:rPr>
            <w:lang w:val="lt-LT"/>
          </w:rPr>
          <w:tab/>
        </w:r>
        <w:r w:rsidR="00003C2A" w:rsidRPr="009201B2">
          <w:rPr>
            <w:lang w:val="lt-LT"/>
          </w:rPr>
          <w:fldChar w:fldCharType="begin"/>
        </w:r>
        <w:r w:rsidR="00003C2A" w:rsidRPr="009201B2">
          <w:rPr>
            <w:lang w:val="lt-LT"/>
          </w:rPr>
          <w:instrText xml:space="preserve"> PAGEREF _Toc256000089 \h </w:instrText>
        </w:r>
        <w:r w:rsidR="00003C2A" w:rsidRPr="009201B2">
          <w:rPr>
            <w:lang w:val="lt-LT"/>
          </w:rPr>
        </w:r>
        <w:r w:rsidR="00003C2A" w:rsidRPr="009201B2">
          <w:rPr>
            <w:lang w:val="lt-LT"/>
          </w:rPr>
          <w:fldChar w:fldCharType="separate"/>
        </w:r>
        <w:r w:rsidR="00003C2A" w:rsidRPr="009201B2">
          <w:rPr>
            <w:lang w:val="lt-LT"/>
          </w:rPr>
          <w:t>35</w:t>
        </w:r>
        <w:r w:rsidR="00003C2A" w:rsidRPr="009201B2">
          <w:rPr>
            <w:lang w:val="lt-LT"/>
          </w:rPr>
          <w:fldChar w:fldCharType="end"/>
        </w:r>
      </w:hyperlink>
    </w:p>
    <w:p w14:paraId="3B0247F8" w14:textId="77777777" w:rsidR="00535D32" w:rsidRPr="009201B2" w:rsidRDefault="004A5EA0">
      <w:pPr>
        <w:pStyle w:val="Turinys3"/>
        <w:tabs>
          <w:tab w:val="right" w:leader="dot" w:pos="10240"/>
        </w:tabs>
        <w:rPr>
          <w:rFonts w:ascii="Calibri" w:hAnsi="Calibri"/>
          <w:sz w:val="22"/>
          <w:lang w:val="lt-LT"/>
        </w:rPr>
      </w:pPr>
      <w:hyperlink w:anchor="_Toc256000090" w:history="1">
        <w:r w:rsidR="00A77B3E" w:rsidRPr="009201B2">
          <w:rPr>
            <w:rStyle w:val="Hipersaitas"/>
            <w:lang w:val="lt-LT"/>
          </w:rPr>
          <w:t>7 lentelė. Perkėlimai tarp pasidalijamojo valdymo fondų</w:t>
        </w:r>
        <w:r w:rsidR="00A77B3E" w:rsidRPr="009201B2">
          <w:rPr>
            <w:rStyle w:val="Hipersaitas"/>
            <w:vertAlign w:val="superscript"/>
            <w:lang w:val="lt-LT"/>
          </w:rPr>
          <w:t>1</w:t>
        </w:r>
        <w:r w:rsidR="00003C2A" w:rsidRPr="009201B2">
          <w:rPr>
            <w:lang w:val="lt-LT"/>
          </w:rPr>
          <w:tab/>
        </w:r>
        <w:r w:rsidR="00003C2A" w:rsidRPr="009201B2">
          <w:rPr>
            <w:lang w:val="lt-LT"/>
          </w:rPr>
          <w:fldChar w:fldCharType="begin"/>
        </w:r>
        <w:r w:rsidR="00003C2A" w:rsidRPr="009201B2">
          <w:rPr>
            <w:lang w:val="lt-LT"/>
          </w:rPr>
          <w:instrText xml:space="preserve"> PAGEREF _Toc256000090 \h </w:instrText>
        </w:r>
        <w:r w:rsidR="00003C2A" w:rsidRPr="009201B2">
          <w:rPr>
            <w:lang w:val="lt-LT"/>
          </w:rPr>
        </w:r>
        <w:r w:rsidR="00003C2A" w:rsidRPr="009201B2">
          <w:rPr>
            <w:lang w:val="lt-LT"/>
          </w:rPr>
          <w:fldChar w:fldCharType="separate"/>
        </w:r>
        <w:r w:rsidR="00003C2A" w:rsidRPr="009201B2">
          <w:rPr>
            <w:lang w:val="lt-LT"/>
          </w:rPr>
          <w:t>35</w:t>
        </w:r>
        <w:r w:rsidR="00003C2A" w:rsidRPr="009201B2">
          <w:rPr>
            <w:lang w:val="lt-LT"/>
          </w:rPr>
          <w:fldChar w:fldCharType="end"/>
        </w:r>
      </w:hyperlink>
    </w:p>
    <w:p w14:paraId="618FBCCC" w14:textId="77777777" w:rsidR="00535D32" w:rsidRPr="009201B2" w:rsidRDefault="004A5EA0">
      <w:pPr>
        <w:pStyle w:val="Turinys3"/>
        <w:tabs>
          <w:tab w:val="right" w:leader="dot" w:pos="10240"/>
        </w:tabs>
        <w:rPr>
          <w:rFonts w:ascii="Calibri" w:hAnsi="Calibri"/>
          <w:sz w:val="22"/>
          <w:lang w:val="lt-LT"/>
        </w:rPr>
      </w:pPr>
      <w:hyperlink w:anchor="_Toc256000091" w:history="1">
        <w:r w:rsidR="00A77B3E" w:rsidRPr="009201B2">
          <w:rPr>
            <w:rStyle w:val="Hipersaitas"/>
            <w:lang w:val="lt-LT"/>
          </w:rPr>
          <w:t>8 lentelė. Perkėlimai į tiesioginio ar netiesioginio valdymo priemones</w:t>
        </w:r>
        <w:r w:rsidR="00A77B3E" w:rsidRPr="009201B2">
          <w:rPr>
            <w:rStyle w:val="Hipersaitas"/>
            <w:vertAlign w:val="superscript"/>
            <w:lang w:val="lt-LT"/>
          </w:rPr>
          <w:t>1</w:t>
        </w:r>
        <w:r w:rsidR="00003C2A" w:rsidRPr="009201B2">
          <w:rPr>
            <w:lang w:val="lt-LT"/>
          </w:rPr>
          <w:tab/>
        </w:r>
        <w:r w:rsidR="00003C2A" w:rsidRPr="009201B2">
          <w:rPr>
            <w:lang w:val="lt-LT"/>
          </w:rPr>
          <w:fldChar w:fldCharType="begin"/>
        </w:r>
        <w:r w:rsidR="00003C2A" w:rsidRPr="009201B2">
          <w:rPr>
            <w:lang w:val="lt-LT"/>
          </w:rPr>
          <w:instrText xml:space="preserve"> PAGEREF _Toc256000091 \h </w:instrText>
        </w:r>
        <w:r w:rsidR="00003C2A" w:rsidRPr="009201B2">
          <w:rPr>
            <w:lang w:val="lt-LT"/>
          </w:rPr>
        </w:r>
        <w:r w:rsidR="00003C2A" w:rsidRPr="009201B2">
          <w:rPr>
            <w:lang w:val="lt-LT"/>
          </w:rPr>
          <w:fldChar w:fldCharType="separate"/>
        </w:r>
        <w:r w:rsidR="00003C2A" w:rsidRPr="009201B2">
          <w:rPr>
            <w:lang w:val="lt-LT"/>
          </w:rPr>
          <w:t>36</w:t>
        </w:r>
        <w:r w:rsidR="00003C2A" w:rsidRPr="009201B2">
          <w:rPr>
            <w:lang w:val="lt-LT"/>
          </w:rPr>
          <w:fldChar w:fldCharType="end"/>
        </w:r>
      </w:hyperlink>
    </w:p>
    <w:p w14:paraId="624AD7CB" w14:textId="77777777" w:rsidR="00535D32" w:rsidRPr="009201B2" w:rsidRDefault="004A5EA0">
      <w:pPr>
        <w:pStyle w:val="Turinys1"/>
        <w:tabs>
          <w:tab w:val="right" w:leader="dot" w:pos="10240"/>
        </w:tabs>
        <w:rPr>
          <w:rFonts w:ascii="Calibri" w:hAnsi="Calibri"/>
          <w:sz w:val="22"/>
          <w:lang w:val="lt-LT"/>
        </w:rPr>
      </w:pPr>
      <w:hyperlink w:anchor="_Toc256000092" w:history="1">
        <w:r w:rsidR="00A77B3E" w:rsidRPr="009201B2">
          <w:rPr>
            <w:rStyle w:val="Hipersaitas"/>
            <w:lang w:val="lt-LT"/>
          </w:rPr>
          <w:t>4. Reikiamos sąlygos</w:t>
        </w:r>
        <w:r w:rsidR="00003C2A" w:rsidRPr="009201B2">
          <w:rPr>
            <w:lang w:val="lt-LT"/>
          </w:rPr>
          <w:tab/>
        </w:r>
        <w:r w:rsidR="00003C2A" w:rsidRPr="009201B2">
          <w:rPr>
            <w:lang w:val="lt-LT"/>
          </w:rPr>
          <w:fldChar w:fldCharType="begin"/>
        </w:r>
        <w:r w:rsidR="00003C2A" w:rsidRPr="009201B2">
          <w:rPr>
            <w:lang w:val="lt-LT"/>
          </w:rPr>
          <w:instrText xml:space="preserve"> PAGEREF _Toc256000092 \h </w:instrText>
        </w:r>
        <w:r w:rsidR="00003C2A" w:rsidRPr="009201B2">
          <w:rPr>
            <w:lang w:val="lt-LT"/>
          </w:rPr>
        </w:r>
        <w:r w:rsidR="00003C2A" w:rsidRPr="009201B2">
          <w:rPr>
            <w:lang w:val="lt-LT"/>
          </w:rPr>
          <w:fldChar w:fldCharType="separate"/>
        </w:r>
        <w:r w:rsidR="00003C2A" w:rsidRPr="009201B2">
          <w:rPr>
            <w:lang w:val="lt-LT"/>
          </w:rPr>
          <w:t>37</w:t>
        </w:r>
        <w:r w:rsidR="00003C2A" w:rsidRPr="009201B2">
          <w:rPr>
            <w:lang w:val="lt-LT"/>
          </w:rPr>
          <w:fldChar w:fldCharType="end"/>
        </w:r>
      </w:hyperlink>
    </w:p>
    <w:p w14:paraId="6C455FFC" w14:textId="77777777" w:rsidR="00535D32" w:rsidRPr="009201B2" w:rsidRDefault="004A5EA0">
      <w:pPr>
        <w:pStyle w:val="Turinys2"/>
        <w:tabs>
          <w:tab w:val="right" w:leader="dot" w:pos="10240"/>
        </w:tabs>
        <w:rPr>
          <w:rFonts w:ascii="Calibri" w:hAnsi="Calibri"/>
          <w:sz w:val="22"/>
          <w:lang w:val="lt-LT"/>
        </w:rPr>
      </w:pPr>
      <w:hyperlink w:anchor="_Toc256000093" w:history="1">
        <w:r w:rsidR="00A77B3E" w:rsidRPr="009201B2">
          <w:rPr>
            <w:rStyle w:val="Hipersaitas"/>
            <w:lang w:val="lt-LT"/>
          </w:rPr>
          <w:t>9 lentelė. Horizontaliosios reikiamos sąlygos</w:t>
        </w:r>
        <w:r w:rsidR="00003C2A" w:rsidRPr="009201B2">
          <w:rPr>
            <w:lang w:val="lt-LT"/>
          </w:rPr>
          <w:tab/>
        </w:r>
        <w:r w:rsidR="00003C2A" w:rsidRPr="009201B2">
          <w:rPr>
            <w:lang w:val="lt-LT"/>
          </w:rPr>
          <w:fldChar w:fldCharType="begin"/>
        </w:r>
        <w:r w:rsidR="00003C2A" w:rsidRPr="009201B2">
          <w:rPr>
            <w:lang w:val="lt-LT"/>
          </w:rPr>
          <w:instrText xml:space="preserve"> PAGEREF _Toc256000093 \h </w:instrText>
        </w:r>
        <w:r w:rsidR="00003C2A" w:rsidRPr="009201B2">
          <w:rPr>
            <w:lang w:val="lt-LT"/>
          </w:rPr>
        </w:r>
        <w:r w:rsidR="00003C2A" w:rsidRPr="009201B2">
          <w:rPr>
            <w:lang w:val="lt-LT"/>
          </w:rPr>
          <w:fldChar w:fldCharType="separate"/>
        </w:r>
        <w:r w:rsidR="00003C2A" w:rsidRPr="009201B2">
          <w:rPr>
            <w:lang w:val="lt-LT"/>
          </w:rPr>
          <w:t>37</w:t>
        </w:r>
        <w:r w:rsidR="00003C2A" w:rsidRPr="009201B2">
          <w:rPr>
            <w:lang w:val="lt-LT"/>
          </w:rPr>
          <w:fldChar w:fldCharType="end"/>
        </w:r>
      </w:hyperlink>
    </w:p>
    <w:p w14:paraId="3C802D33" w14:textId="77777777" w:rsidR="00535D32" w:rsidRPr="009201B2" w:rsidRDefault="004A5EA0">
      <w:pPr>
        <w:pStyle w:val="Turinys1"/>
        <w:tabs>
          <w:tab w:val="right" w:leader="dot" w:pos="10240"/>
        </w:tabs>
        <w:rPr>
          <w:rFonts w:ascii="Calibri" w:hAnsi="Calibri"/>
          <w:sz w:val="22"/>
          <w:lang w:val="lt-LT"/>
        </w:rPr>
      </w:pPr>
      <w:hyperlink w:anchor="_Toc256000094" w:history="1">
        <w:r w:rsidR="00A77B3E" w:rsidRPr="009201B2">
          <w:rPr>
            <w:rStyle w:val="Hipersaitas"/>
            <w:lang w:val="lt-LT"/>
          </w:rPr>
          <w:t>5. Programos institucijos</w:t>
        </w:r>
        <w:r w:rsidR="00003C2A" w:rsidRPr="009201B2">
          <w:rPr>
            <w:lang w:val="lt-LT"/>
          </w:rPr>
          <w:tab/>
        </w:r>
        <w:r w:rsidR="00003C2A" w:rsidRPr="009201B2">
          <w:rPr>
            <w:lang w:val="lt-LT"/>
          </w:rPr>
          <w:fldChar w:fldCharType="begin"/>
        </w:r>
        <w:r w:rsidR="00003C2A" w:rsidRPr="009201B2">
          <w:rPr>
            <w:lang w:val="lt-LT"/>
          </w:rPr>
          <w:instrText xml:space="preserve"> PAGEREF _Toc256000094 \h </w:instrText>
        </w:r>
        <w:r w:rsidR="00003C2A" w:rsidRPr="009201B2">
          <w:rPr>
            <w:lang w:val="lt-LT"/>
          </w:rPr>
        </w:r>
        <w:r w:rsidR="00003C2A" w:rsidRPr="009201B2">
          <w:rPr>
            <w:lang w:val="lt-LT"/>
          </w:rPr>
          <w:fldChar w:fldCharType="separate"/>
        </w:r>
        <w:r w:rsidR="00003C2A" w:rsidRPr="009201B2">
          <w:rPr>
            <w:lang w:val="lt-LT"/>
          </w:rPr>
          <w:t>44</w:t>
        </w:r>
        <w:r w:rsidR="00003C2A" w:rsidRPr="009201B2">
          <w:rPr>
            <w:lang w:val="lt-LT"/>
          </w:rPr>
          <w:fldChar w:fldCharType="end"/>
        </w:r>
      </w:hyperlink>
    </w:p>
    <w:p w14:paraId="1C52D1AD" w14:textId="77777777" w:rsidR="00535D32" w:rsidRPr="009201B2" w:rsidRDefault="004A5EA0">
      <w:pPr>
        <w:pStyle w:val="Turinys2"/>
        <w:tabs>
          <w:tab w:val="right" w:leader="dot" w:pos="10240"/>
        </w:tabs>
        <w:rPr>
          <w:rFonts w:ascii="Calibri" w:hAnsi="Calibri"/>
          <w:sz w:val="22"/>
          <w:lang w:val="lt-LT"/>
        </w:rPr>
      </w:pPr>
      <w:hyperlink w:anchor="_Toc256000095" w:history="1">
        <w:r w:rsidR="00A77B3E" w:rsidRPr="009201B2">
          <w:rPr>
            <w:rStyle w:val="Hipersaitas"/>
            <w:lang w:val="lt-LT"/>
          </w:rPr>
          <w:t>10 lentelė. Programos institucijos</w:t>
        </w:r>
        <w:r w:rsidR="00003C2A" w:rsidRPr="009201B2">
          <w:rPr>
            <w:lang w:val="lt-LT"/>
          </w:rPr>
          <w:tab/>
        </w:r>
        <w:r w:rsidR="00003C2A" w:rsidRPr="009201B2">
          <w:rPr>
            <w:lang w:val="lt-LT"/>
          </w:rPr>
          <w:fldChar w:fldCharType="begin"/>
        </w:r>
        <w:r w:rsidR="00003C2A" w:rsidRPr="009201B2">
          <w:rPr>
            <w:lang w:val="lt-LT"/>
          </w:rPr>
          <w:instrText xml:space="preserve"> PAGEREF _Toc256000095 \h </w:instrText>
        </w:r>
        <w:r w:rsidR="00003C2A" w:rsidRPr="009201B2">
          <w:rPr>
            <w:lang w:val="lt-LT"/>
          </w:rPr>
        </w:r>
        <w:r w:rsidR="00003C2A" w:rsidRPr="009201B2">
          <w:rPr>
            <w:lang w:val="lt-LT"/>
          </w:rPr>
          <w:fldChar w:fldCharType="separate"/>
        </w:r>
        <w:r w:rsidR="00003C2A" w:rsidRPr="009201B2">
          <w:rPr>
            <w:lang w:val="lt-LT"/>
          </w:rPr>
          <w:t>44</w:t>
        </w:r>
        <w:r w:rsidR="00003C2A" w:rsidRPr="009201B2">
          <w:rPr>
            <w:lang w:val="lt-LT"/>
          </w:rPr>
          <w:fldChar w:fldCharType="end"/>
        </w:r>
      </w:hyperlink>
    </w:p>
    <w:p w14:paraId="30428CA6" w14:textId="77777777" w:rsidR="00535D32" w:rsidRPr="009201B2" w:rsidRDefault="004A5EA0">
      <w:pPr>
        <w:pStyle w:val="Turinys1"/>
        <w:tabs>
          <w:tab w:val="right" w:leader="dot" w:pos="10240"/>
        </w:tabs>
        <w:rPr>
          <w:rFonts w:ascii="Calibri" w:hAnsi="Calibri"/>
          <w:sz w:val="22"/>
          <w:lang w:val="lt-LT"/>
        </w:rPr>
      </w:pPr>
      <w:hyperlink w:anchor="_Toc256000096" w:history="1">
        <w:r w:rsidR="00A77B3E" w:rsidRPr="009201B2">
          <w:rPr>
            <w:rStyle w:val="Hipersaitas"/>
            <w:lang w:val="lt-LT"/>
          </w:rPr>
          <w:t>6. Partnerystė</w:t>
        </w:r>
        <w:r w:rsidR="00003C2A" w:rsidRPr="009201B2">
          <w:rPr>
            <w:lang w:val="lt-LT"/>
          </w:rPr>
          <w:tab/>
        </w:r>
        <w:r w:rsidR="00003C2A" w:rsidRPr="009201B2">
          <w:rPr>
            <w:lang w:val="lt-LT"/>
          </w:rPr>
          <w:fldChar w:fldCharType="begin"/>
        </w:r>
        <w:r w:rsidR="00003C2A" w:rsidRPr="009201B2">
          <w:rPr>
            <w:lang w:val="lt-LT"/>
          </w:rPr>
          <w:instrText xml:space="preserve"> PAGEREF _Toc256000096 \h </w:instrText>
        </w:r>
        <w:r w:rsidR="00003C2A" w:rsidRPr="009201B2">
          <w:rPr>
            <w:lang w:val="lt-LT"/>
          </w:rPr>
        </w:r>
        <w:r w:rsidR="00003C2A" w:rsidRPr="009201B2">
          <w:rPr>
            <w:lang w:val="lt-LT"/>
          </w:rPr>
          <w:fldChar w:fldCharType="separate"/>
        </w:r>
        <w:r w:rsidR="00003C2A" w:rsidRPr="009201B2">
          <w:rPr>
            <w:lang w:val="lt-LT"/>
          </w:rPr>
          <w:t>45</w:t>
        </w:r>
        <w:r w:rsidR="00003C2A" w:rsidRPr="009201B2">
          <w:rPr>
            <w:lang w:val="lt-LT"/>
          </w:rPr>
          <w:fldChar w:fldCharType="end"/>
        </w:r>
      </w:hyperlink>
    </w:p>
    <w:p w14:paraId="041A9BFE" w14:textId="77777777" w:rsidR="00535D32" w:rsidRPr="009201B2" w:rsidRDefault="004A5EA0">
      <w:pPr>
        <w:pStyle w:val="Turinys1"/>
        <w:tabs>
          <w:tab w:val="right" w:leader="dot" w:pos="10240"/>
        </w:tabs>
        <w:rPr>
          <w:rFonts w:ascii="Calibri" w:hAnsi="Calibri"/>
          <w:sz w:val="22"/>
          <w:lang w:val="lt-LT"/>
        </w:rPr>
      </w:pPr>
      <w:hyperlink w:anchor="_Toc256000097" w:history="1">
        <w:r w:rsidR="00A77B3E" w:rsidRPr="009201B2">
          <w:rPr>
            <w:rStyle w:val="Hipersaitas"/>
            <w:lang w:val="lt-LT"/>
          </w:rPr>
          <w:t>7. Komunikacija ir matomumas</w:t>
        </w:r>
        <w:r w:rsidR="00003C2A" w:rsidRPr="009201B2">
          <w:rPr>
            <w:lang w:val="lt-LT"/>
          </w:rPr>
          <w:tab/>
        </w:r>
        <w:r w:rsidR="00003C2A" w:rsidRPr="009201B2">
          <w:rPr>
            <w:lang w:val="lt-LT"/>
          </w:rPr>
          <w:fldChar w:fldCharType="begin"/>
        </w:r>
        <w:r w:rsidR="00003C2A" w:rsidRPr="009201B2">
          <w:rPr>
            <w:lang w:val="lt-LT"/>
          </w:rPr>
          <w:instrText xml:space="preserve"> PAGEREF _Toc256000097 \h </w:instrText>
        </w:r>
        <w:r w:rsidR="00003C2A" w:rsidRPr="009201B2">
          <w:rPr>
            <w:lang w:val="lt-LT"/>
          </w:rPr>
        </w:r>
        <w:r w:rsidR="00003C2A" w:rsidRPr="009201B2">
          <w:rPr>
            <w:lang w:val="lt-LT"/>
          </w:rPr>
          <w:fldChar w:fldCharType="separate"/>
        </w:r>
        <w:r w:rsidR="00003C2A" w:rsidRPr="009201B2">
          <w:rPr>
            <w:lang w:val="lt-LT"/>
          </w:rPr>
          <w:t>47</w:t>
        </w:r>
        <w:r w:rsidR="00003C2A" w:rsidRPr="009201B2">
          <w:rPr>
            <w:lang w:val="lt-LT"/>
          </w:rPr>
          <w:fldChar w:fldCharType="end"/>
        </w:r>
      </w:hyperlink>
    </w:p>
    <w:p w14:paraId="0BDF1108" w14:textId="77777777" w:rsidR="00535D32" w:rsidRPr="009201B2" w:rsidRDefault="004A5EA0">
      <w:pPr>
        <w:pStyle w:val="Turinys1"/>
        <w:tabs>
          <w:tab w:val="right" w:leader="dot" w:pos="10240"/>
        </w:tabs>
        <w:rPr>
          <w:rFonts w:ascii="Calibri" w:hAnsi="Calibri"/>
          <w:sz w:val="22"/>
          <w:lang w:val="lt-LT"/>
        </w:rPr>
      </w:pPr>
      <w:hyperlink w:anchor="_Toc256000098" w:history="1">
        <w:r w:rsidR="00A77B3E" w:rsidRPr="009201B2">
          <w:rPr>
            <w:rStyle w:val="Hipersaitas"/>
            <w:lang w:val="lt-LT"/>
          </w:rPr>
          <w:t>8. Vieneto įkainių, fiksuotųjų sumų, fiksuotųjų normų ir su išlaidomis nesusijusio finansavimo taikymas</w:t>
        </w:r>
        <w:r w:rsidR="00003C2A" w:rsidRPr="009201B2">
          <w:rPr>
            <w:lang w:val="lt-LT"/>
          </w:rPr>
          <w:tab/>
        </w:r>
        <w:r w:rsidR="00003C2A" w:rsidRPr="009201B2">
          <w:rPr>
            <w:lang w:val="lt-LT"/>
          </w:rPr>
          <w:fldChar w:fldCharType="begin"/>
        </w:r>
        <w:r w:rsidR="00003C2A" w:rsidRPr="009201B2">
          <w:rPr>
            <w:lang w:val="lt-LT"/>
          </w:rPr>
          <w:instrText xml:space="preserve"> PAGEREF _Toc256000098 \h </w:instrText>
        </w:r>
        <w:r w:rsidR="00003C2A" w:rsidRPr="009201B2">
          <w:rPr>
            <w:lang w:val="lt-LT"/>
          </w:rPr>
        </w:r>
        <w:r w:rsidR="00003C2A" w:rsidRPr="009201B2">
          <w:rPr>
            <w:lang w:val="lt-LT"/>
          </w:rPr>
          <w:fldChar w:fldCharType="separate"/>
        </w:r>
        <w:r w:rsidR="00003C2A" w:rsidRPr="009201B2">
          <w:rPr>
            <w:lang w:val="lt-LT"/>
          </w:rPr>
          <w:t>48</w:t>
        </w:r>
        <w:r w:rsidR="00003C2A" w:rsidRPr="009201B2">
          <w:rPr>
            <w:lang w:val="lt-LT"/>
          </w:rPr>
          <w:fldChar w:fldCharType="end"/>
        </w:r>
      </w:hyperlink>
    </w:p>
    <w:p w14:paraId="079D0466" w14:textId="77777777" w:rsidR="00535D32" w:rsidRPr="009201B2" w:rsidRDefault="004A5EA0">
      <w:pPr>
        <w:pStyle w:val="Turinys1"/>
        <w:tabs>
          <w:tab w:val="right" w:leader="dot" w:pos="10240"/>
        </w:tabs>
        <w:rPr>
          <w:rFonts w:ascii="Calibri" w:hAnsi="Calibri"/>
          <w:sz w:val="22"/>
          <w:lang w:val="lt-LT"/>
        </w:rPr>
      </w:pPr>
      <w:hyperlink w:anchor="_Toc256000099" w:history="1">
        <w:r w:rsidR="00A77B3E" w:rsidRPr="009201B2">
          <w:rPr>
            <w:rStyle w:val="Hipersaitas"/>
            <w:lang w:val="lt-LT"/>
          </w:rPr>
          <w:t>1 priedėlis. Sąjungos įnašas vieneto įkainių, fiksuotųjų sumų ir fiksuotųjų normų pagrindu</w:t>
        </w:r>
        <w:r w:rsidR="00003C2A" w:rsidRPr="009201B2">
          <w:rPr>
            <w:lang w:val="lt-LT"/>
          </w:rPr>
          <w:tab/>
        </w:r>
        <w:r w:rsidR="00003C2A" w:rsidRPr="009201B2">
          <w:rPr>
            <w:lang w:val="lt-LT"/>
          </w:rPr>
          <w:fldChar w:fldCharType="begin"/>
        </w:r>
        <w:r w:rsidR="00003C2A" w:rsidRPr="009201B2">
          <w:rPr>
            <w:lang w:val="lt-LT"/>
          </w:rPr>
          <w:instrText xml:space="preserve"> PAGEREF _Toc256000099 \h </w:instrText>
        </w:r>
        <w:r w:rsidR="00003C2A" w:rsidRPr="009201B2">
          <w:rPr>
            <w:lang w:val="lt-LT"/>
          </w:rPr>
        </w:r>
        <w:r w:rsidR="00003C2A" w:rsidRPr="009201B2">
          <w:rPr>
            <w:lang w:val="lt-LT"/>
          </w:rPr>
          <w:fldChar w:fldCharType="separate"/>
        </w:r>
        <w:r w:rsidR="00003C2A" w:rsidRPr="009201B2">
          <w:rPr>
            <w:lang w:val="lt-LT"/>
          </w:rPr>
          <w:t>49</w:t>
        </w:r>
        <w:r w:rsidR="00003C2A" w:rsidRPr="009201B2">
          <w:rPr>
            <w:lang w:val="lt-LT"/>
          </w:rPr>
          <w:fldChar w:fldCharType="end"/>
        </w:r>
      </w:hyperlink>
    </w:p>
    <w:p w14:paraId="2DBE8224" w14:textId="77777777" w:rsidR="00535D32" w:rsidRPr="009201B2" w:rsidRDefault="004A5EA0">
      <w:pPr>
        <w:pStyle w:val="Turinys2"/>
        <w:tabs>
          <w:tab w:val="right" w:leader="dot" w:pos="10240"/>
        </w:tabs>
        <w:rPr>
          <w:rFonts w:ascii="Calibri" w:hAnsi="Calibri"/>
          <w:sz w:val="22"/>
          <w:lang w:val="lt-LT"/>
        </w:rPr>
      </w:pPr>
      <w:hyperlink w:anchor="_Toc256000100" w:history="1">
        <w:r w:rsidR="00A77B3E" w:rsidRPr="009201B2">
          <w:rPr>
            <w:rStyle w:val="Hipersaitas"/>
            <w:lang w:val="lt-LT"/>
          </w:rPr>
          <w:t>A. Pagrindinių elementų santrauka</w:t>
        </w:r>
        <w:r w:rsidR="00003C2A" w:rsidRPr="009201B2">
          <w:rPr>
            <w:lang w:val="lt-LT"/>
          </w:rPr>
          <w:tab/>
        </w:r>
        <w:r w:rsidR="00003C2A" w:rsidRPr="009201B2">
          <w:rPr>
            <w:lang w:val="lt-LT"/>
          </w:rPr>
          <w:fldChar w:fldCharType="begin"/>
        </w:r>
        <w:r w:rsidR="00003C2A" w:rsidRPr="009201B2">
          <w:rPr>
            <w:lang w:val="lt-LT"/>
          </w:rPr>
          <w:instrText xml:space="preserve"> PAGEREF _Toc256000100 \h </w:instrText>
        </w:r>
        <w:r w:rsidR="00003C2A" w:rsidRPr="009201B2">
          <w:rPr>
            <w:lang w:val="lt-LT"/>
          </w:rPr>
        </w:r>
        <w:r w:rsidR="00003C2A" w:rsidRPr="009201B2">
          <w:rPr>
            <w:lang w:val="lt-LT"/>
          </w:rPr>
          <w:fldChar w:fldCharType="separate"/>
        </w:r>
        <w:r w:rsidR="00003C2A" w:rsidRPr="009201B2">
          <w:rPr>
            <w:lang w:val="lt-LT"/>
          </w:rPr>
          <w:t>49</w:t>
        </w:r>
        <w:r w:rsidR="00003C2A" w:rsidRPr="009201B2">
          <w:rPr>
            <w:lang w:val="lt-LT"/>
          </w:rPr>
          <w:fldChar w:fldCharType="end"/>
        </w:r>
      </w:hyperlink>
    </w:p>
    <w:p w14:paraId="009364B1" w14:textId="77777777" w:rsidR="00535D32" w:rsidRPr="009201B2" w:rsidRDefault="004A5EA0">
      <w:pPr>
        <w:pStyle w:val="Turinys2"/>
        <w:tabs>
          <w:tab w:val="right" w:leader="dot" w:pos="10240"/>
        </w:tabs>
        <w:rPr>
          <w:rFonts w:ascii="Calibri" w:hAnsi="Calibri"/>
          <w:sz w:val="22"/>
          <w:lang w:val="lt-LT"/>
        </w:rPr>
      </w:pPr>
      <w:hyperlink w:anchor="_Toc256000101" w:history="1">
        <w:r w:rsidR="00A77B3E" w:rsidRPr="009201B2">
          <w:rPr>
            <w:rStyle w:val="Hipersaitas"/>
            <w:lang w:val="lt-LT"/>
          </w:rPr>
          <w:t>B. Išsami informacija pagal operacijos tipą</w:t>
        </w:r>
        <w:r w:rsidR="00003C2A" w:rsidRPr="009201B2">
          <w:rPr>
            <w:lang w:val="lt-LT"/>
          </w:rPr>
          <w:tab/>
        </w:r>
        <w:r w:rsidR="00003C2A" w:rsidRPr="009201B2">
          <w:rPr>
            <w:lang w:val="lt-LT"/>
          </w:rPr>
          <w:fldChar w:fldCharType="begin"/>
        </w:r>
        <w:r w:rsidR="00003C2A" w:rsidRPr="009201B2">
          <w:rPr>
            <w:lang w:val="lt-LT"/>
          </w:rPr>
          <w:instrText xml:space="preserve"> PAGEREF _Toc256000101 \h </w:instrText>
        </w:r>
        <w:r w:rsidR="00003C2A" w:rsidRPr="009201B2">
          <w:rPr>
            <w:lang w:val="lt-LT"/>
          </w:rPr>
        </w:r>
        <w:r w:rsidR="00003C2A" w:rsidRPr="009201B2">
          <w:rPr>
            <w:lang w:val="lt-LT"/>
          </w:rPr>
          <w:fldChar w:fldCharType="separate"/>
        </w:r>
        <w:r w:rsidR="00003C2A" w:rsidRPr="009201B2">
          <w:rPr>
            <w:lang w:val="lt-LT"/>
          </w:rPr>
          <w:t>50</w:t>
        </w:r>
        <w:r w:rsidR="00003C2A" w:rsidRPr="009201B2">
          <w:rPr>
            <w:lang w:val="lt-LT"/>
          </w:rPr>
          <w:fldChar w:fldCharType="end"/>
        </w:r>
      </w:hyperlink>
    </w:p>
    <w:p w14:paraId="318A83F6" w14:textId="77777777" w:rsidR="00535D32" w:rsidRPr="009201B2" w:rsidRDefault="004A5EA0">
      <w:pPr>
        <w:pStyle w:val="Turinys2"/>
        <w:tabs>
          <w:tab w:val="right" w:leader="dot" w:pos="10240"/>
        </w:tabs>
        <w:rPr>
          <w:rFonts w:ascii="Calibri" w:hAnsi="Calibri"/>
          <w:sz w:val="22"/>
          <w:lang w:val="lt-LT"/>
        </w:rPr>
      </w:pPr>
      <w:hyperlink w:anchor="_Toc256000102" w:history="1">
        <w:r w:rsidR="00A77B3E" w:rsidRPr="009201B2">
          <w:rPr>
            <w:rStyle w:val="Hipersaitas"/>
            <w:lang w:val="lt-LT"/>
          </w:rPr>
          <w:t>C. Fiksuotųjų vieneto įkainių, fiksuotųjų sumų arba fiksuotųjų normų apskaičiavimas</w:t>
        </w:r>
        <w:r w:rsidR="00003C2A" w:rsidRPr="009201B2">
          <w:rPr>
            <w:lang w:val="lt-LT"/>
          </w:rPr>
          <w:tab/>
        </w:r>
        <w:r w:rsidR="00003C2A" w:rsidRPr="009201B2">
          <w:rPr>
            <w:lang w:val="lt-LT"/>
          </w:rPr>
          <w:fldChar w:fldCharType="begin"/>
        </w:r>
        <w:r w:rsidR="00003C2A" w:rsidRPr="009201B2">
          <w:rPr>
            <w:lang w:val="lt-LT"/>
          </w:rPr>
          <w:instrText xml:space="preserve"> PAGEREF _Toc256000102 \h </w:instrText>
        </w:r>
        <w:r w:rsidR="00003C2A" w:rsidRPr="009201B2">
          <w:rPr>
            <w:lang w:val="lt-LT"/>
          </w:rPr>
        </w:r>
        <w:r w:rsidR="00003C2A" w:rsidRPr="009201B2">
          <w:rPr>
            <w:lang w:val="lt-LT"/>
          </w:rPr>
          <w:fldChar w:fldCharType="separate"/>
        </w:r>
        <w:r w:rsidR="00003C2A" w:rsidRPr="009201B2">
          <w:rPr>
            <w:lang w:val="lt-LT"/>
          </w:rPr>
          <w:t>51</w:t>
        </w:r>
        <w:r w:rsidR="00003C2A" w:rsidRPr="009201B2">
          <w:rPr>
            <w:lang w:val="lt-LT"/>
          </w:rPr>
          <w:fldChar w:fldCharType="end"/>
        </w:r>
      </w:hyperlink>
    </w:p>
    <w:p w14:paraId="29F54DE9" w14:textId="77777777" w:rsidR="00535D32" w:rsidRPr="009201B2" w:rsidRDefault="004A5EA0">
      <w:pPr>
        <w:pStyle w:val="Turinys4"/>
        <w:tabs>
          <w:tab w:val="right" w:leader="dot" w:pos="10240"/>
        </w:tabs>
        <w:rPr>
          <w:rFonts w:ascii="Calibri" w:hAnsi="Calibri"/>
          <w:sz w:val="22"/>
          <w:lang w:val="lt-LT"/>
        </w:rPr>
      </w:pPr>
      <w:hyperlink w:anchor="_Toc256000103" w:history="1">
        <w:r w:rsidR="00A77B3E" w:rsidRPr="009201B2">
          <w:rPr>
            <w:rStyle w:val="Hipersaitas"/>
            <w:lang w:val="lt-LT"/>
          </w:rPr>
          <w:t>1. Duomenų, pagal kuriuos apskaičiuojamas standartinis fiksuotųjų vieneto įkainių, fiksuotųjų sumų ar fiksuotųjų normų dydis, šaltinis (kas pateikė, surinko ir užregistravo duomenis; kur duomenys saugomi, ataskaitinių laikotarpių pabaigos datos, patvirtinimas ir pan.):</w:t>
        </w:r>
        <w:r w:rsidR="00003C2A" w:rsidRPr="009201B2">
          <w:rPr>
            <w:lang w:val="lt-LT"/>
          </w:rPr>
          <w:tab/>
        </w:r>
        <w:r w:rsidR="00003C2A" w:rsidRPr="009201B2">
          <w:rPr>
            <w:lang w:val="lt-LT"/>
          </w:rPr>
          <w:fldChar w:fldCharType="begin"/>
        </w:r>
        <w:r w:rsidR="00003C2A" w:rsidRPr="009201B2">
          <w:rPr>
            <w:lang w:val="lt-LT"/>
          </w:rPr>
          <w:instrText xml:space="preserve"> PAGEREF _Toc256000103 \h </w:instrText>
        </w:r>
        <w:r w:rsidR="00003C2A" w:rsidRPr="009201B2">
          <w:rPr>
            <w:lang w:val="lt-LT"/>
          </w:rPr>
        </w:r>
        <w:r w:rsidR="00003C2A" w:rsidRPr="009201B2">
          <w:rPr>
            <w:lang w:val="lt-LT"/>
          </w:rPr>
          <w:fldChar w:fldCharType="separate"/>
        </w:r>
        <w:r w:rsidR="00003C2A" w:rsidRPr="009201B2">
          <w:rPr>
            <w:lang w:val="lt-LT"/>
          </w:rPr>
          <w:t>51</w:t>
        </w:r>
        <w:r w:rsidR="00003C2A" w:rsidRPr="009201B2">
          <w:rPr>
            <w:lang w:val="lt-LT"/>
          </w:rPr>
          <w:fldChar w:fldCharType="end"/>
        </w:r>
      </w:hyperlink>
    </w:p>
    <w:p w14:paraId="42BAA4F2" w14:textId="77777777" w:rsidR="00535D32" w:rsidRPr="009201B2" w:rsidRDefault="004A5EA0">
      <w:pPr>
        <w:pStyle w:val="Turinys4"/>
        <w:tabs>
          <w:tab w:val="right" w:leader="dot" w:pos="10240"/>
        </w:tabs>
        <w:rPr>
          <w:rFonts w:ascii="Calibri" w:hAnsi="Calibri"/>
          <w:sz w:val="22"/>
          <w:lang w:val="lt-LT"/>
        </w:rPr>
      </w:pPr>
      <w:hyperlink w:anchor="_Toc256000104" w:history="1">
        <w:r w:rsidR="00A77B3E" w:rsidRPr="009201B2">
          <w:rPr>
            <w:rStyle w:val="Hipersaitas"/>
            <w:lang w:val="lt-LT"/>
          </w:rPr>
          <w:t>2. Nurodykite, kodėl siūlomas metodas ir apskaičiavimo būdas remiantis BNR 94 straipsnio 2 dalimi tinka pagal veiksmo rūšį (-is):</w:t>
        </w:r>
        <w:r w:rsidR="00003C2A" w:rsidRPr="009201B2">
          <w:rPr>
            <w:lang w:val="lt-LT"/>
          </w:rPr>
          <w:tab/>
        </w:r>
        <w:r w:rsidR="00003C2A" w:rsidRPr="009201B2">
          <w:rPr>
            <w:lang w:val="lt-LT"/>
          </w:rPr>
          <w:fldChar w:fldCharType="begin"/>
        </w:r>
        <w:r w:rsidR="00003C2A" w:rsidRPr="009201B2">
          <w:rPr>
            <w:lang w:val="lt-LT"/>
          </w:rPr>
          <w:instrText xml:space="preserve"> PAGEREF _Toc256000104 \h </w:instrText>
        </w:r>
        <w:r w:rsidR="00003C2A" w:rsidRPr="009201B2">
          <w:rPr>
            <w:lang w:val="lt-LT"/>
          </w:rPr>
        </w:r>
        <w:r w:rsidR="00003C2A" w:rsidRPr="009201B2">
          <w:rPr>
            <w:lang w:val="lt-LT"/>
          </w:rPr>
          <w:fldChar w:fldCharType="separate"/>
        </w:r>
        <w:r w:rsidR="00003C2A" w:rsidRPr="009201B2">
          <w:rPr>
            <w:lang w:val="lt-LT"/>
          </w:rPr>
          <w:t>52</w:t>
        </w:r>
        <w:r w:rsidR="00003C2A" w:rsidRPr="009201B2">
          <w:rPr>
            <w:lang w:val="lt-LT"/>
          </w:rPr>
          <w:fldChar w:fldCharType="end"/>
        </w:r>
      </w:hyperlink>
    </w:p>
    <w:p w14:paraId="0D56AA14" w14:textId="77777777" w:rsidR="00535D32" w:rsidRPr="009201B2" w:rsidRDefault="004A5EA0">
      <w:pPr>
        <w:pStyle w:val="Turinys4"/>
        <w:tabs>
          <w:tab w:val="right" w:leader="dot" w:pos="10240"/>
        </w:tabs>
        <w:rPr>
          <w:rFonts w:ascii="Calibri" w:hAnsi="Calibri"/>
          <w:sz w:val="22"/>
          <w:lang w:val="lt-LT"/>
        </w:rPr>
      </w:pPr>
      <w:hyperlink w:anchor="_Toc256000105" w:history="1">
        <w:r w:rsidR="00A77B3E" w:rsidRPr="009201B2">
          <w:rPr>
            <w:rStyle w:val="Hipersaitas"/>
            <w:lang w:val="lt-LT"/>
          </w:rPr>
          <w:t>3. Nurodykite, kaip atlikti skaičiavimai, ypač pateikite visas darytas prielaidas dėl kokybės ar kiekio. Kai aktualu, reikėtų naudotis statistiniais duomenimis ir lyginamaisiais standartais ir juos pateikti (jei jų buvo paprašyta) tokiu formatu, kurį Komisija galėtų naudoti.</w:t>
        </w:r>
        <w:r w:rsidR="00003C2A" w:rsidRPr="009201B2">
          <w:rPr>
            <w:lang w:val="lt-LT"/>
          </w:rPr>
          <w:tab/>
        </w:r>
        <w:r w:rsidR="00003C2A" w:rsidRPr="009201B2">
          <w:rPr>
            <w:lang w:val="lt-LT"/>
          </w:rPr>
          <w:fldChar w:fldCharType="begin"/>
        </w:r>
        <w:r w:rsidR="00003C2A" w:rsidRPr="009201B2">
          <w:rPr>
            <w:lang w:val="lt-LT"/>
          </w:rPr>
          <w:instrText xml:space="preserve"> PAGEREF _Toc256000105 \h </w:instrText>
        </w:r>
        <w:r w:rsidR="00003C2A" w:rsidRPr="009201B2">
          <w:rPr>
            <w:lang w:val="lt-LT"/>
          </w:rPr>
        </w:r>
        <w:r w:rsidR="00003C2A" w:rsidRPr="009201B2">
          <w:rPr>
            <w:lang w:val="lt-LT"/>
          </w:rPr>
          <w:fldChar w:fldCharType="separate"/>
        </w:r>
        <w:r w:rsidR="00003C2A" w:rsidRPr="009201B2">
          <w:rPr>
            <w:lang w:val="lt-LT"/>
          </w:rPr>
          <w:t>53</w:t>
        </w:r>
        <w:r w:rsidR="00003C2A" w:rsidRPr="009201B2">
          <w:rPr>
            <w:lang w:val="lt-LT"/>
          </w:rPr>
          <w:fldChar w:fldCharType="end"/>
        </w:r>
      </w:hyperlink>
    </w:p>
    <w:p w14:paraId="50C76814" w14:textId="77777777" w:rsidR="00535D32" w:rsidRPr="009201B2" w:rsidRDefault="004A5EA0">
      <w:pPr>
        <w:pStyle w:val="Turinys4"/>
        <w:tabs>
          <w:tab w:val="right" w:leader="dot" w:pos="10240"/>
        </w:tabs>
        <w:rPr>
          <w:rFonts w:ascii="Calibri" w:hAnsi="Calibri"/>
          <w:sz w:val="22"/>
          <w:lang w:val="lt-LT"/>
        </w:rPr>
      </w:pPr>
      <w:hyperlink w:anchor="_Toc256000106" w:history="1">
        <w:r w:rsidR="00A77B3E" w:rsidRPr="009201B2">
          <w:rPr>
            <w:rStyle w:val="Hipersaitas"/>
            <w:lang w:val="lt-LT"/>
          </w:rPr>
          <w:t>4. Paaiškinkite, kad užtikrinote, kad į fiksuotojo vieneto įkainio, fiksuotosios sumos ar fiksuotosios normos skaičiavimą buvo įtrauktos tik tinkamos finansuoti išlaidos.</w:t>
        </w:r>
        <w:r w:rsidR="00003C2A" w:rsidRPr="009201B2">
          <w:rPr>
            <w:lang w:val="lt-LT"/>
          </w:rPr>
          <w:tab/>
        </w:r>
        <w:r w:rsidR="00003C2A" w:rsidRPr="009201B2">
          <w:rPr>
            <w:lang w:val="lt-LT"/>
          </w:rPr>
          <w:fldChar w:fldCharType="begin"/>
        </w:r>
        <w:r w:rsidR="00003C2A" w:rsidRPr="009201B2">
          <w:rPr>
            <w:lang w:val="lt-LT"/>
          </w:rPr>
          <w:instrText xml:space="preserve"> PAGEREF _Toc256000106 \h </w:instrText>
        </w:r>
        <w:r w:rsidR="00003C2A" w:rsidRPr="009201B2">
          <w:rPr>
            <w:lang w:val="lt-LT"/>
          </w:rPr>
        </w:r>
        <w:r w:rsidR="00003C2A" w:rsidRPr="009201B2">
          <w:rPr>
            <w:lang w:val="lt-LT"/>
          </w:rPr>
          <w:fldChar w:fldCharType="separate"/>
        </w:r>
        <w:r w:rsidR="00003C2A" w:rsidRPr="009201B2">
          <w:rPr>
            <w:lang w:val="lt-LT"/>
          </w:rPr>
          <w:t>54</w:t>
        </w:r>
        <w:r w:rsidR="00003C2A" w:rsidRPr="009201B2">
          <w:rPr>
            <w:lang w:val="lt-LT"/>
          </w:rPr>
          <w:fldChar w:fldCharType="end"/>
        </w:r>
      </w:hyperlink>
    </w:p>
    <w:p w14:paraId="0CF0A48E" w14:textId="77777777" w:rsidR="00535D32" w:rsidRPr="009201B2" w:rsidRDefault="004A5EA0">
      <w:pPr>
        <w:pStyle w:val="Turinys4"/>
        <w:tabs>
          <w:tab w:val="right" w:leader="dot" w:pos="10240"/>
        </w:tabs>
        <w:rPr>
          <w:rFonts w:ascii="Calibri" w:hAnsi="Calibri"/>
          <w:sz w:val="22"/>
          <w:lang w:val="lt-LT"/>
        </w:rPr>
      </w:pPr>
      <w:hyperlink w:anchor="_Toc256000107" w:history="1">
        <w:r w:rsidR="00A77B3E" w:rsidRPr="009201B2">
          <w:rPr>
            <w:rStyle w:val="Hipersaitas"/>
            <w:lang w:val="lt-LT"/>
          </w:rPr>
          <w:t>5. Audito institucijos (-ų) atliktas skaičiavimo metodų ir sumų įvertinimas ir duomenų tvirtinimo, kokybės, rinkimo ir saugojimo užtikrinimo tvarka.</w:t>
        </w:r>
        <w:r w:rsidR="00003C2A" w:rsidRPr="009201B2">
          <w:rPr>
            <w:lang w:val="lt-LT"/>
          </w:rPr>
          <w:tab/>
        </w:r>
        <w:r w:rsidR="00003C2A" w:rsidRPr="009201B2">
          <w:rPr>
            <w:lang w:val="lt-LT"/>
          </w:rPr>
          <w:fldChar w:fldCharType="begin"/>
        </w:r>
        <w:r w:rsidR="00003C2A" w:rsidRPr="009201B2">
          <w:rPr>
            <w:lang w:val="lt-LT"/>
          </w:rPr>
          <w:instrText xml:space="preserve"> PAGEREF _Toc256000107 \h </w:instrText>
        </w:r>
        <w:r w:rsidR="00003C2A" w:rsidRPr="009201B2">
          <w:rPr>
            <w:lang w:val="lt-LT"/>
          </w:rPr>
        </w:r>
        <w:r w:rsidR="00003C2A" w:rsidRPr="009201B2">
          <w:rPr>
            <w:lang w:val="lt-LT"/>
          </w:rPr>
          <w:fldChar w:fldCharType="separate"/>
        </w:r>
        <w:r w:rsidR="00003C2A" w:rsidRPr="009201B2">
          <w:rPr>
            <w:lang w:val="lt-LT"/>
          </w:rPr>
          <w:t>55</w:t>
        </w:r>
        <w:r w:rsidR="00003C2A" w:rsidRPr="009201B2">
          <w:rPr>
            <w:lang w:val="lt-LT"/>
          </w:rPr>
          <w:fldChar w:fldCharType="end"/>
        </w:r>
      </w:hyperlink>
    </w:p>
    <w:p w14:paraId="06E59489" w14:textId="77777777" w:rsidR="00535D32" w:rsidRPr="009201B2" w:rsidRDefault="004A5EA0">
      <w:pPr>
        <w:pStyle w:val="Turinys1"/>
        <w:tabs>
          <w:tab w:val="right" w:leader="dot" w:pos="10240"/>
        </w:tabs>
        <w:rPr>
          <w:rFonts w:ascii="Calibri" w:hAnsi="Calibri"/>
          <w:sz w:val="22"/>
          <w:lang w:val="lt-LT"/>
        </w:rPr>
      </w:pPr>
      <w:hyperlink w:anchor="_Toc256000108" w:history="1">
        <w:r w:rsidR="00A77B3E" w:rsidRPr="009201B2">
          <w:rPr>
            <w:rStyle w:val="Hipersaitas"/>
            <w:lang w:val="lt-LT"/>
          </w:rPr>
          <w:t>2 priedėlis. Sąjungos įnašas su išlaidomis nesiejamo finansavimo pagrindu</w:t>
        </w:r>
        <w:r w:rsidR="00003C2A" w:rsidRPr="009201B2">
          <w:rPr>
            <w:lang w:val="lt-LT"/>
          </w:rPr>
          <w:tab/>
        </w:r>
        <w:r w:rsidR="00003C2A" w:rsidRPr="009201B2">
          <w:rPr>
            <w:lang w:val="lt-LT"/>
          </w:rPr>
          <w:fldChar w:fldCharType="begin"/>
        </w:r>
        <w:r w:rsidR="00003C2A" w:rsidRPr="009201B2">
          <w:rPr>
            <w:lang w:val="lt-LT"/>
          </w:rPr>
          <w:instrText xml:space="preserve"> PAGEREF _Toc256000108 \h </w:instrText>
        </w:r>
        <w:r w:rsidR="00003C2A" w:rsidRPr="009201B2">
          <w:rPr>
            <w:lang w:val="lt-LT"/>
          </w:rPr>
        </w:r>
        <w:r w:rsidR="00003C2A" w:rsidRPr="009201B2">
          <w:rPr>
            <w:lang w:val="lt-LT"/>
          </w:rPr>
          <w:fldChar w:fldCharType="separate"/>
        </w:r>
        <w:r w:rsidR="00003C2A" w:rsidRPr="009201B2">
          <w:rPr>
            <w:lang w:val="lt-LT"/>
          </w:rPr>
          <w:t>56</w:t>
        </w:r>
        <w:r w:rsidR="00003C2A" w:rsidRPr="009201B2">
          <w:rPr>
            <w:lang w:val="lt-LT"/>
          </w:rPr>
          <w:fldChar w:fldCharType="end"/>
        </w:r>
      </w:hyperlink>
    </w:p>
    <w:p w14:paraId="3080010B" w14:textId="77777777" w:rsidR="00535D32" w:rsidRPr="009201B2" w:rsidRDefault="004A5EA0">
      <w:pPr>
        <w:pStyle w:val="Turinys2"/>
        <w:tabs>
          <w:tab w:val="right" w:leader="dot" w:pos="10240"/>
        </w:tabs>
        <w:rPr>
          <w:rFonts w:ascii="Calibri" w:hAnsi="Calibri"/>
          <w:sz w:val="22"/>
          <w:lang w:val="lt-LT"/>
        </w:rPr>
      </w:pPr>
      <w:hyperlink w:anchor="_Toc256000109" w:history="1">
        <w:r w:rsidR="00A77B3E" w:rsidRPr="009201B2">
          <w:rPr>
            <w:rStyle w:val="Hipersaitas"/>
            <w:lang w:val="lt-LT"/>
          </w:rPr>
          <w:t>A. Pagrindinių elementų santrauka</w:t>
        </w:r>
        <w:r w:rsidR="00003C2A" w:rsidRPr="009201B2">
          <w:rPr>
            <w:lang w:val="lt-LT"/>
          </w:rPr>
          <w:tab/>
        </w:r>
        <w:r w:rsidR="00003C2A" w:rsidRPr="009201B2">
          <w:rPr>
            <w:lang w:val="lt-LT"/>
          </w:rPr>
          <w:fldChar w:fldCharType="begin"/>
        </w:r>
        <w:r w:rsidR="00003C2A" w:rsidRPr="009201B2">
          <w:rPr>
            <w:lang w:val="lt-LT"/>
          </w:rPr>
          <w:instrText xml:space="preserve"> PAGEREF _Toc256000109 \h </w:instrText>
        </w:r>
        <w:r w:rsidR="00003C2A" w:rsidRPr="009201B2">
          <w:rPr>
            <w:lang w:val="lt-LT"/>
          </w:rPr>
        </w:r>
        <w:r w:rsidR="00003C2A" w:rsidRPr="009201B2">
          <w:rPr>
            <w:lang w:val="lt-LT"/>
          </w:rPr>
          <w:fldChar w:fldCharType="separate"/>
        </w:r>
        <w:r w:rsidR="00003C2A" w:rsidRPr="009201B2">
          <w:rPr>
            <w:lang w:val="lt-LT"/>
          </w:rPr>
          <w:t>56</w:t>
        </w:r>
        <w:r w:rsidR="00003C2A" w:rsidRPr="009201B2">
          <w:rPr>
            <w:lang w:val="lt-LT"/>
          </w:rPr>
          <w:fldChar w:fldCharType="end"/>
        </w:r>
      </w:hyperlink>
    </w:p>
    <w:p w14:paraId="39B4E275" w14:textId="77777777" w:rsidR="00535D32" w:rsidRPr="009201B2" w:rsidRDefault="004A5EA0">
      <w:pPr>
        <w:pStyle w:val="Turinys2"/>
        <w:tabs>
          <w:tab w:val="right" w:leader="dot" w:pos="10240"/>
        </w:tabs>
        <w:rPr>
          <w:rFonts w:ascii="Calibri" w:hAnsi="Calibri"/>
          <w:sz w:val="22"/>
          <w:lang w:val="lt-LT"/>
        </w:rPr>
      </w:pPr>
      <w:hyperlink w:anchor="_Toc256000110" w:history="1">
        <w:r w:rsidR="00A77B3E" w:rsidRPr="009201B2">
          <w:rPr>
            <w:rStyle w:val="Hipersaitas"/>
            <w:lang w:val="lt-LT"/>
          </w:rPr>
          <w:t>B. Išsami informacija pagal operacijos tipą</w:t>
        </w:r>
        <w:r w:rsidR="00003C2A" w:rsidRPr="009201B2">
          <w:rPr>
            <w:lang w:val="lt-LT"/>
          </w:rPr>
          <w:tab/>
        </w:r>
        <w:r w:rsidR="00003C2A" w:rsidRPr="009201B2">
          <w:rPr>
            <w:lang w:val="lt-LT"/>
          </w:rPr>
          <w:fldChar w:fldCharType="begin"/>
        </w:r>
        <w:r w:rsidR="00003C2A" w:rsidRPr="009201B2">
          <w:rPr>
            <w:lang w:val="lt-LT"/>
          </w:rPr>
          <w:instrText xml:space="preserve"> PAGEREF _Toc256000110 \h </w:instrText>
        </w:r>
        <w:r w:rsidR="00003C2A" w:rsidRPr="009201B2">
          <w:rPr>
            <w:lang w:val="lt-LT"/>
          </w:rPr>
        </w:r>
        <w:r w:rsidR="00003C2A" w:rsidRPr="009201B2">
          <w:rPr>
            <w:lang w:val="lt-LT"/>
          </w:rPr>
          <w:fldChar w:fldCharType="separate"/>
        </w:r>
        <w:r w:rsidR="00003C2A" w:rsidRPr="009201B2">
          <w:rPr>
            <w:lang w:val="lt-LT"/>
          </w:rPr>
          <w:t>57</w:t>
        </w:r>
        <w:r w:rsidR="00003C2A" w:rsidRPr="009201B2">
          <w:rPr>
            <w:lang w:val="lt-LT"/>
          </w:rPr>
          <w:fldChar w:fldCharType="end"/>
        </w:r>
      </w:hyperlink>
    </w:p>
    <w:p w14:paraId="6B6065B6" w14:textId="77777777" w:rsidR="00535D32" w:rsidRPr="009201B2" w:rsidRDefault="004A5EA0">
      <w:pPr>
        <w:pStyle w:val="Turinys1"/>
        <w:tabs>
          <w:tab w:val="right" w:leader="dot" w:pos="10240"/>
        </w:tabs>
        <w:rPr>
          <w:rFonts w:ascii="Calibri" w:hAnsi="Calibri"/>
          <w:sz w:val="22"/>
          <w:lang w:val="lt-LT"/>
        </w:rPr>
      </w:pPr>
      <w:hyperlink w:anchor="_Toc256000111" w:history="1">
        <w:r w:rsidR="00A77B3E" w:rsidRPr="009201B2">
          <w:rPr>
            <w:rStyle w:val="Hipersaitas"/>
            <w:lang w:val="lt-LT"/>
          </w:rPr>
          <w:t>3 priedėlis.</w:t>
        </w:r>
        <w:r w:rsidR="00003C2A" w:rsidRPr="009201B2">
          <w:rPr>
            <w:lang w:val="lt-LT"/>
          </w:rPr>
          <w:tab/>
        </w:r>
        <w:r w:rsidR="00003C2A" w:rsidRPr="009201B2">
          <w:rPr>
            <w:lang w:val="lt-LT"/>
          </w:rPr>
          <w:fldChar w:fldCharType="begin"/>
        </w:r>
        <w:r w:rsidR="00003C2A" w:rsidRPr="009201B2">
          <w:rPr>
            <w:lang w:val="lt-LT"/>
          </w:rPr>
          <w:instrText xml:space="preserve"> PAGEREF _Toc256000111 \h </w:instrText>
        </w:r>
        <w:r w:rsidR="00003C2A" w:rsidRPr="009201B2">
          <w:rPr>
            <w:lang w:val="lt-LT"/>
          </w:rPr>
        </w:r>
        <w:r w:rsidR="00003C2A" w:rsidRPr="009201B2">
          <w:rPr>
            <w:lang w:val="lt-LT"/>
          </w:rPr>
          <w:fldChar w:fldCharType="separate"/>
        </w:r>
        <w:r w:rsidR="00003C2A" w:rsidRPr="009201B2">
          <w:rPr>
            <w:lang w:val="lt-LT"/>
          </w:rPr>
          <w:t>58</w:t>
        </w:r>
        <w:r w:rsidR="00003C2A" w:rsidRPr="009201B2">
          <w:rPr>
            <w:lang w:val="lt-LT"/>
          </w:rPr>
          <w:fldChar w:fldCharType="end"/>
        </w:r>
      </w:hyperlink>
    </w:p>
    <w:p w14:paraId="6C2AF4B2" w14:textId="77777777" w:rsidR="00535D32" w:rsidRPr="009201B2" w:rsidRDefault="004A5EA0">
      <w:pPr>
        <w:pStyle w:val="Turinys2"/>
        <w:tabs>
          <w:tab w:val="right" w:leader="dot" w:pos="10240"/>
        </w:tabs>
        <w:rPr>
          <w:rFonts w:ascii="Calibri" w:hAnsi="Calibri"/>
          <w:sz w:val="22"/>
          <w:lang w:val="lt-LT"/>
        </w:rPr>
      </w:pPr>
      <w:hyperlink w:anchor="_Toc256000112" w:history="1">
        <w:r w:rsidR="00A77B3E" w:rsidRPr="009201B2">
          <w:rPr>
            <w:rStyle w:val="Hipersaitas"/>
            <w:lang w:val="lt-LT"/>
          </w:rPr>
          <w:t>Teminė priemonė</w:t>
        </w:r>
        <w:r w:rsidR="00003C2A" w:rsidRPr="009201B2">
          <w:rPr>
            <w:lang w:val="lt-LT"/>
          </w:rPr>
          <w:tab/>
        </w:r>
        <w:r w:rsidR="00003C2A" w:rsidRPr="009201B2">
          <w:rPr>
            <w:lang w:val="lt-LT"/>
          </w:rPr>
          <w:fldChar w:fldCharType="begin"/>
        </w:r>
        <w:r w:rsidR="00003C2A" w:rsidRPr="009201B2">
          <w:rPr>
            <w:lang w:val="lt-LT"/>
          </w:rPr>
          <w:instrText xml:space="preserve"> PAGEREF _Toc256000112 \h </w:instrText>
        </w:r>
        <w:r w:rsidR="00003C2A" w:rsidRPr="009201B2">
          <w:rPr>
            <w:lang w:val="lt-LT"/>
          </w:rPr>
        </w:r>
        <w:r w:rsidR="00003C2A" w:rsidRPr="009201B2">
          <w:rPr>
            <w:lang w:val="lt-LT"/>
          </w:rPr>
          <w:fldChar w:fldCharType="separate"/>
        </w:r>
        <w:r w:rsidR="00003C2A" w:rsidRPr="009201B2">
          <w:rPr>
            <w:lang w:val="lt-LT"/>
          </w:rPr>
          <w:t>58</w:t>
        </w:r>
        <w:r w:rsidR="00003C2A" w:rsidRPr="009201B2">
          <w:rPr>
            <w:lang w:val="lt-LT"/>
          </w:rPr>
          <w:fldChar w:fldCharType="end"/>
        </w:r>
      </w:hyperlink>
    </w:p>
    <w:p w14:paraId="46FA3AFD" w14:textId="77777777" w:rsidR="00535D32" w:rsidRPr="009201B2" w:rsidRDefault="004A5EA0">
      <w:pPr>
        <w:pStyle w:val="Turinys1"/>
        <w:tabs>
          <w:tab w:val="right" w:leader="dot" w:pos="10240"/>
        </w:tabs>
        <w:rPr>
          <w:rFonts w:ascii="Calibri" w:hAnsi="Calibri"/>
          <w:sz w:val="22"/>
          <w:lang w:val="lt-LT"/>
        </w:rPr>
      </w:pPr>
      <w:hyperlink w:anchor="_Toc256000113" w:history="1">
        <w:r w:rsidR="00A77B3E" w:rsidRPr="009201B2">
          <w:rPr>
            <w:rStyle w:val="Hipersaitas"/>
            <w:lang w:val="lt-LT"/>
          </w:rPr>
          <w:t>DOKUMENTAI</w:t>
        </w:r>
        <w:r w:rsidR="00003C2A" w:rsidRPr="009201B2">
          <w:rPr>
            <w:lang w:val="lt-LT"/>
          </w:rPr>
          <w:tab/>
        </w:r>
        <w:r w:rsidR="00003C2A" w:rsidRPr="009201B2">
          <w:rPr>
            <w:lang w:val="lt-LT"/>
          </w:rPr>
          <w:fldChar w:fldCharType="begin"/>
        </w:r>
        <w:r w:rsidR="00003C2A" w:rsidRPr="009201B2">
          <w:rPr>
            <w:lang w:val="lt-LT"/>
          </w:rPr>
          <w:instrText xml:space="preserve"> PAGEREF _Toc256000113 \h </w:instrText>
        </w:r>
        <w:r w:rsidR="00003C2A" w:rsidRPr="009201B2">
          <w:rPr>
            <w:lang w:val="lt-LT"/>
          </w:rPr>
        </w:r>
        <w:r w:rsidR="00003C2A" w:rsidRPr="009201B2">
          <w:rPr>
            <w:lang w:val="lt-LT"/>
          </w:rPr>
          <w:fldChar w:fldCharType="separate"/>
        </w:r>
        <w:r w:rsidR="00003C2A" w:rsidRPr="009201B2">
          <w:rPr>
            <w:lang w:val="lt-LT"/>
          </w:rPr>
          <w:t>59</w:t>
        </w:r>
        <w:r w:rsidR="00003C2A" w:rsidRPr="009201B2">
          <w:rPr>
            <w:lang w:val="lt-LT"/>
          </w:rPr>
          <w:fldChar w:fldCharType="end"/>
        </w:r>
      </w:hyperlink>
    </w:p>
    <w:p w14:paraId="08B5CC29" w14:textId="77777777" w:rsidR="00A77B3E" w:rsidRPr="009201B2" w:rsidRDefault="00003C2A">
      <w:pPr>
        <w:pStyle w:val="Antrat1"/>
        <w:rPr>
          <w:rFonts w:ascii="Times New Roman" w:hAnsi="Times New Roman" w:cs="Times New Roman"/>
          <w:b w:val="0"/>
          <w:color w:val="000000"/>
          <w:sz w:val="24"/>
          <w:lang w:val="lt-LT"/>
        </w:rPr>
      </w:pPr>
      <w:r w:rsidRPr="009201B2">
        <w:rPr>
          <w:rFonts w:ascii="Times New Roman" w:hAnsi="Times New Roman" w:cs="Times New Roman"/>
          <w:b w:val="0"/>
          <w:color w:val="000000"/>
          <w:sz w:val="24"/>
          <w:lang w:val="lt-LT"/>
        </w:rPr>
        <w:fldChar w:fldCharType="end"/>
      </w:r>
      <w:r w:rsidRPr="009201B2">
        <w:rPr>
          <w:rFonts w:ascii="Times New Roman" w:hAnsi="Times New Roman" w:cs="Times New Roman"/>
          <w:b w:val="0"/>
          <w:color w:val="000000"/>
          <w:sz w:val="24"/>
          <w:lang w:val="lt-LT"/>
        </w:rPr>
        <w:br w:type="page"/>
      </w:r>
      <w:bookmarkStart w:id="0" w:name="_Toc256000057"/>
      <w:r w:rsidRPr="009201B2">
        <w:rPr>
          <w:rFonts w:ascii="Times New Roman" w:hAnsi="Times New Roman" w:cs="Times New Roman"/>
          <w:b w:val="0"/>
          <w:color w:val="000000"/>
          <w:sz w:val="24"/>
          <w:lang w:val="lt-LT"/>
        </w:rPr>
        <w:lastRenderedPageBreak/>
        <w:t>1. Programos strategija. pagrindiniai uždaviniai ir politinės priemonės</w:t>
      </w:r>
      <w:bookmarkEnd w:id="0"/>
    </w:p>
    <w:p w14:paraId="416608FA" w14:textId="77777777" w:rsidR="00A77B3E" w:rsidRPr="009201B2" w:rsidRDefault="00003C2A">
      <w:pPr>
        <w:rPr>
          <w:color w:val="000000"/>
          <w:sz w:val="16"/>
          <w:lang w:val="lt-LT"/>
        </w:rPr>
      </w:pPr>
      <w:r w:rsidRPr="009201B2">
        <w:rPr>
          <w:color w:val="000000"/>
          <w:lang w:val="lt-LT"/>
        </w:rPr>
        <w:t>Nuoroda: Reglamento (ES) 2021/1060 (toliau – BNR) 22 straipsnio 3 dalies a punkto iii, iv, v ir ix papunkčiai.</w:t>
      </w:r>
    </w:p>
    <w:p w14:paraId="02732E9F" w14:textId="77777777" w:rsidR="00A77B3E" w:rsidRPr="009201B2" w:rsidRDefault="00A77B3E">
      <w:pPr>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7F5D2D" w14:paraId="6A39DA47"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17D04E66" w14:textId="77777777" w:rsidR="00A77B3E" w:rsidRPr="009201B2" w:rsidRDefault="00A77B3E">
            <w:pPr>
              <w:rPr>
                <w:color w:val="000000"/>
                <w:sz w:val="0"/>
                <w:lang w:val="lt-LT"/>
              </w:rPr>
            </w:pPr>
          </w:p>
          <w:p w14:paraId="2D5C6138" w14:textId="1E058083" w:rsidR="00A77B3E" w:rsidRPr="009201B2" w:rsidRDefault="004E1EF5" w:rsidP="00BE352F">
            <w:pPr>
              <w:jc w:val="both"/>
              <w:rPr>
                <w:color w:val="000000"/>
                <w:lang w:val="lt-LT"/>
              </w:rPr>
            </w:pPr>
            <w:r w:rsidRPr="009201B2">
              <w:rPr>
                <w:color w:val="000000"/>
                <w:lang w:val="lt-LT"/>
              </w:rPr>
              <w:t xml:space="preserve">2021 m. gruodžio 16 d. </w:t>
            </w:r>
            <w:r w:rsidR="00A82E74" w:rsidRPr="009201B2">
              <w:rPr>
                <w:color w:val="000000"/>
                <w:lang w:val="lt-LT"/>
              </w:rPr>
              <w:t xml:space="preserve">Lietuvos Respublikos </w:t>
            </w:r>
            <w:r w:rsidR="001F1AB8" w:rsidRPr="009201B2">
              <w:rPr>
                <w:color w:val="000000"/>
                <w:lang w:val="lt-LT"/>
              </w:rPr>
              <w:t xml:space="preserve">(LT) </w:t>
            </w:r>
            <w:r w:rsidR="00003C2A" w:rsidRPr="009201B2">
              <w:rPr>
                <w:color w:val="000000"/>
                <w:lang w:val="lt-LT"/>
              </w:rPr>
              <w:t xml:space="preserve">Seimas </w:t>
            </w:r>
            <w:r w:rsidR="00A82E74" w:rsidRPr="009201B2">
              <w:rPr>
                <w:color w:val="000000"/>
                <w:lang w:val="lt-LT"/>
              </w:rPr>
              <w:t xml:space="preserve">priėmė atnaujintą </w:t>
            </w:r>
            <w:r w:rsidRPr="009201B2">
              <w:rPr>
                <w:b/>
                <w:bCs/>
                <w:color w:val="000000"/>
                <w:lang w:val="lt-LT"/>
              </w:rPr>
              <w:t xml:space="preserve">Nacionalinę saugumo strategiją </w:t>
            </w:r>
            <w:r w:rsidR="00003C2A" w:rsidRPr="009201B2">
              <w:rPr>
                <w:color w:val="000000"/>
                <w:lang w:val="lt-LT"/>
              </w:rPr>
              <w:t>(</w:t>
            </w:r>
            <w:r w:rsidRPr="009201B2">
              <w:rPr>
                <w:color w:val="000000"/>
                <w:lang w:val="lt-LT"/>
              </w:rPr>
              <w:t>toliau – Strategija)</w:t>
            </w:r>
            <w:r w:rsidR="00003C2A" w:rsidRPr="009201B2">
              <w:rPr>
                <w:color w:val="000000"/>
                <w:lang w:val="lt-LT"/>
              </w:rPr>
              <w:t xml:space="preserve"> </w:t>
            </w:r>
            <w:r w:rsidRPr="009201B2">
              <w:rPr>
                <w:color w:val="000000"/>
                <w:lang w:val="lt-LT"/>
              </w:rPr>
              <w:t xml:space="preserve">ir nurodė pagrindines nacionaliniam saugumui kylančias grėsmes, įskaitant radikalizaciją ir terorizmą, organizuotą nusikalstamumą, </w:t>
            </w:r>
            <w:r w:rsidR="00AB7038" w:rsidRPr="009201B2">
              <w:rPr>
                <w:color w:val="000000"/>
                <w:lang w:val="lt-LT"/>
              </w:rPr>
              <w:t>kibernetinius</w:t>
            </w:r>
            <w:r w:rsidRPr="009201B2">
              <w:rPr>
                <w:color w:val="000000"/>
                <w:lang w:val="lt-LT"/>
              </w:rPr>
              <w:t xml:space="preserve"> nusikaltimus ir korupciją. </w:t>
            </w:r>
            <w:r w:rsidR="00AB7038" w:rsidRPr="009201B2">
              <w:rPr>
                <w:color w:val="000000"/>
                <w:lang w:val="lt-LT"/>
              </w:rPr>
              <w:t xml:space="preserve">Grėsmėms </w:t>
            </w:r>
            <w:r w:rsidRPr="009201B2">
              <w:rPr>
                <w:color w:val="000000"/>
                <w:lang w:val="lt-LT"/>
              </w:rPr>
              <w:t xml:space="preserve">švelninti </w:t>
            </w:r>
            <w:r w:rsidR="00AB7038" w:rsidRPr="009201B2">
              <w:rPr>
                <w:color w:val="000000"/>
                <w:lang w:val="lt-LT"/>
              </w:rPr>
              <w:t>S</w:t>
            </w:r>
            <w:r w:rsidRPr="009201B2">
              <w:rPr>
                <w:color w:val="000000"/>
                <w:lang w:val="lt-LT"/>
              </w:rPr>
              <w:t>trategijoje nustatyti ilgalaikiai tikslai</w:t>
            </w:r>
            <w:r w:rsidR="00AB7038" w:rsidRPr="009201B2">
              <w:rPr>
                <w:color w:val="000000"/>
                <w:lang w:val="lt-LT"/>
              </w:rPr>
              <w:t>,</w:t>
            </w:r>
            <w:r w:rsidRPr="009201B2">
              <w:rPr>
                <w:color w:val="000000"/>
                <w:lang w:val="lt-LT"/>
              </w:rPr>
              <w:t xml:space="preserve"> kaip</w:t>
            </w:r>
            <w:r w:rsidR="00AB7038" w:rsidRPr="009201B2">
              <w:rPr>
                <w:color w:val="000000"/>
                <w:lang w:val="lt-LT"/>
              </w:rPr>
              <w:t xml:space="preserve"> antai</w:t>
            </w:r>
            <w:r w:rsidRPr="009201B2">
              <w:rPr>
                <w:color w:val="000000"/>
                <w:lang w:val="lt-LT"/>
              </w:rPr>
              <w:t>: užtikrinti nacionalinius pajėgumus</w:t>
            </w:r>
            <w:r w:rsidR="00AB7038" w:rsidRPr="009201B2">
              <w:rPr>
                <w:color w:val="000000"/>
                <w:lang w:val="lt-LT"/>
              </w:rPr>
              <w:t>, siekiant</w:t>
            </w:r>
            <w:r w:rsidRPr="009201B2">
              <w:rPr>
                <w:color w:val="000000"/>
                <w:lang w:val="lt-LT"/>
              </w:rPr>
              <w:t xml:space="preserve"> užkirsti kelią teroristinei ar smurtinio ekstremizmo veiklai, stiprinti reagavimą į teroro aktus ir įgyvendinti radikalizacij</w:t>
            </w:r>
            <w:r w:rsidR="00AB7038" w:rsidRPr="009201B2">
              <w:rPr>
                <w:color w:val="000000"/>
                <w:lang w:val="lt-LT"/>
              </w:rPr>
              <w:t>os prevencines priemones</w:t>
            </w:r>
            <w:r w:rsidR="00003C2A" w:rsidRPr="009201B2">
              <w:rPr>
                <w:color w:val="000000"/>
                <w:lang w:val="lt-LT"/>
              </w:rPr>
              <w:t xml:space="preserve">; </w:t>
            </w:r>
            <w:r w:rsidR="00AB7038" w:rsidRPr="009201B2">
              <w:rPr>
                <w:color w:val="000000"/>
                <w:lang w:val="lt-LT"/>
              </w:rPr>
              <w:t xml:space="preserve">įgyvendinti su pinigų plovimu, terorizmo finansavimu ir neteisėta veikla susijusių galimų grėsmių, kurios daro didžiausią žalą valstybės biudžetui ir ES biudžetui, prevencijos ir mažinimo priemones; plėtoti kovos su organizuotomis nusikalstamomis grupuotėmis pajėgumus; užtikrinti veiksmingą tarptautinių organizuotų finansinių nusikaltimų atskleidimą ir tyrimą; plėtoti kibernetinių nusikaltimų ir gynybos pajėgumus, siekiant užtikrinti veiksmingą kibernetinių incidentų </w:t>
            </w:r>
            <w:r w:rsidR="00DC2981" w:rsidRPr="009201B2">
              <w:rPr>
                <w:color w:val="000000"/>
                <w:lang w:val="lt-LT"/>
              </w:rPr>
              <w:t>nustatym</w:t>
            </w:r>
            <w:r w:rsidR="00AB7038" w:rsidRPr="009201B2">
              <w:rPr>
                <w:color w:val="000000"/>
                <w:lang w:val="lt-LT"/>
              </w:rPr>
              <w:t xml:space="preserve">ą, prevenciją, </w:t>
            </w:r>
            <w:r w:rsidR="00DC2981" w:rsidRPr="009201B2">
              <w:rPr>
                <w:color w:val="000000"/>
                <w:lang w:val="lt-LT"/>
              </w:rPr>
              <w:t>užkardymą</w:t>
            </w:r>
            <w:r w:rsidR="00AB7038" w:rsidRPr="009201B2">
              <w:rPr>
                <w:color w:val="000000"/>
                <w:lang w:val="lt-LT"/>
              </w:rPr>
              <w:t xml:space="preserve"> ir valdymą; kurti korupcijai atsparią aplinką valstybėje, užtikrinti veiksmingą </w:t>
            </w:r>
            <w:r w:rsidR="00DC2981" w:rsidRPr="009201B2">
              <w:rPr>
                <w:color w:val="000000"/>
                <w:lang w:val="lt-LT"/>
              </w:rPr>
              <w:t>korupcijos kontrolę ir apsaugoti valstybės interesus nuo galimos korupcijos įtakos.</w:t>
            </w:r>
          </w:p>
          <w:p w14:paraId="4C0A7ABC" w14:textId="14B8B388" w:rsidR="00A77B3E" w:rsidRPr="009201B2" w:rsidRDefault="00DC2981" w:rsidP="00BE352F">
            <w:pPr>
              <w:jc w:val="both"/>
              <w:rPr>
                <w:color w:val="000000"/>
                <w:lang w:val="lt-LT"/>
              </w:rPr>
            </w:pPr>
            <w:r w:rsidRPr="009201B2">
              <w:rPr>
                <w:color w:val="000000"/>
                <w:lang w:val="lt-LT"/>
              </w:rPr>
              <w:t>Strategijoje nustatyt</w:t>
            </w:r>
            <w:r w:rsidR="007F5D2D">
              <w:rPr>
                <w:color w:val="000000"/>
                <w:lang w:val="lt-LT"/>
              </w:rPr>
              <w:t xml:space="preserve">iems </w:t>
            </w:r>
            <w:r w:rsidRPr="009201B2">
              <w:rPr>
                <w:color w:val="000000"/>
                <w:lang w:val="lt-LT"/>
              </w:rPr>
              <w:t>vidaus saugumo politikos prioritet</w:t>
            </w:r>
            <w:r w:rsidR="007F5D2D">
              <w:rPr>
                <w:color w:val="000000"/>
                <w:lang w:val="lt-LT"/>
              </w:rPr>
              <w:t>am</w:t>
            </w:r>
            <w:r w:rsidRPr="009201B2">
              <w:rPr>
                <w:color w:val="000000"/>
                <w:lang w:val="lt-LT"/>
              </w:rPr>
              <w:t>s ir tiksl</w:t>
            </w:r>
            <w:r w:rsidR="007F5D2D">
              <w:rPr>
                <w:color w:val="000000"/>
                <w:lang w:val="lt-LT"/>
              </w:rPr>
              <w:t>am</w:t>
            </w:r>
            <w:r w:rsidRPr="009201B2">
              <w:rPr>
                <w:color w:val="000000"/>
                <w:lang w:val="lt-LT"/>
              </w:rPr>
              <w:t>s viešojo saugumo palaikymo ir stiprinimo srityje</w:t>
            </w:r>
            <w:r w:rsidR="007F5D2D">
              <w:rPr>
                <w:color w:val="000000"/>
                <w:lang w:val="lt-LT"/>
              </w:rPr>
              <w:t xml:space="preserve"> įgyvendinti</w:t>
            </w:r>
            <w:r w:rsidRPr="009201B2">
              <w:rPr>
                <w:color w:val="000000"/>
                <w:lang w:val="lt-LT"/>
              </w:rPr>
              <w:t xml:space="preserve"> parengta ilgalaikė valstybinė saugumo stiprinimo programa </w:t>
            </w:r>
            <w:r w:rsidRPr="009201B2">
              <w:rPr>
                <w:b/>
                <w:bCs/>
                <w:color w:val="000000"/>
                <w:lang w:val="lt-LT"/>
              </w:rPr>
              <w:t>Viešojo saugumo stiprinimo ir plėtros 2022</w:t>
            </w:r>
            <w:r w:rsidR="0089523D">
              <w:rPr>
                <w:b/>
                <w:bCs/>
                <w:color w:val="000000"/>
                <w:lang w:val="lt-LT"/>
              </w:rPr>
              <w:t>–</w:t>
            </w:r>
            <w:r w:rsidRPr="009201B2">
              <w:rPr>
                <w:b/>
                <w:bCs/>
                <w:color w:val="000000"/>
                <w:lang w:val="lt-LT"/>
              </w:rPr>
              <w:t>2030 m. programa</w:t>
            </w:r>
            <w:r w:rsidRPr="009201B2">
              <w:rPr>
                <w:color w:val="000000"/>
                <w:lang w:val="lt-LT"/>
              </w:rPr>
              <w:t>.</w:t>
            </w:r>
            <w:r w:rsidR="004678CD" w:rsidRPr="009201B2">
              <w:rPr>
                <w:color w:val="000000"/>
                <w:lang w:val="lt-LT"/>
              </w:rPr>
              <w:t xml:space="preserve"> Strateginis šios programos tikslas – paversti LT saugesne valstybe, galinčia veiksmingai apsaugoti pagrindines žmogaus teises ir laisves bei užtikrinti visuomenės saugumą. Toliau nurodyti 2022</w:t>
            </w:r>
            <w:r w:rsidR="007E0949">
              <w:rPr>
                <w:color w:val="000000"/>
                <w:lang w:val="lt-LT"/>
              </w:rPr>
              <w:t>–</w:t>
            </w:r>
            <w:r w:rsidR="004678CD" w:rsidRPr="009201B2">
              <w:rPr>
                <w:color w:val="000000"/>
                <w:lang w:val="lt-LT"/>
              </w:rPr>
              <w:t xml:space="preserve">2030 m. laikotarpiui numatyti šios programos tikslai bus įgyvendinami per VSF programą: didinti nusikaltimų ir kitų teisės pažeidimų prevencijos veiksmingumą; stiprinti teisėsaugos institucijų atsaką sunkių ir labai sunkių nusikaltimų, taip pat organizuotų nusikalstamų grupuočių daromų nusikaltimų organizatoriams, vykdytojams ir kitiems bendrininkams; sudaryti nepalankias sąlygas teroristinei veiklai LT ir prisidėti prie tarptautinės bendruomenės pastangų </w:t>
            </w:r>
            <w:r w:rsidR="00813A1F" w:rsidRPr="009201B2">
              <w:rPr>
                <w:color w:val="000000"/>
                <w:lang w:val="lt-LT"/>
              </w:rPr>
              <w:t>kovojant su terorizmu; stiprinti teisėsaugos institucijų ir kitų valstybės institucijų, kurioms pavestos tiesiogiai su viešojo saugumo stiprinimu susijusios užduotys, gebėjimus ir galimybes užtikrinti viešąjį saugumą – gerinti šių institucijų aprūpinimą informacija, užtikrinti naudojamų registrų, informacinių ir ryšių technologijų sistemų tobulinimą, plėtrą ir suderinamumą, taip pat operatyvų tarpinstitucinį ir tarpvalstybinį keitimąsi informacija, diegiant modernias informacines ir ryšių technologijas viešajam saugumui užtikrinti</w:t>
            </w:r>
            <w:r w:rsidR="00003C2A" w:rsidRPr="009201B2">
              <w:rPr>
                <w:color w:val="000000"/>
                <w:lang w:val="lt-LT"/>
              </w:rPr>
              <w:t>.</w:t>
            </w:r>
          </w:p>
          <w:p w14:paraId="49134C86" w14:textId="7F669B88" w:rsidR="00A77B3E" w:rsidRPr="009201B2" w:rsidRDefault="00B05BF5" w:rsidP="00BE352F">
            <w:pPr>
              <w:jc w:val="both"/>
              <w:rPr>
                <w:color w:val="000000"/>
                <w:lang w:val="lt-LT"/>
              </w:rPr>
            </w:pPr>
            <w:r w:rsidRPr="009201B2">
              <w:rPr>
                <w:color w:val="000000"/>
                <w:lang w:val="lt-LT"/>
              </w:rPr>
              <w:t>Įgyvendin</w:t>
            </w:r>
            <w:r w:rsidR="001F1AB8" w:rsidRPr="009201B2">
              <w:rPr>
                <w:color w:val="000000"/>
                <w:lang w:val="lt-LT"/>
              </w:rPr>
              <w:t>dama</w:t>
            </w:r>
            <w:r w:rsidRPr="009201B2">
              <w:rPr>
                <w:color w:val="000000"/>
                <w:lang w:val="lt-LT"/>
              </w:rPr>
              <w:t xml:space="preserve"> </w:t>
            </w:r>
            <w:r w:rsidRPr="009201B2">
              <w:rPr>
                <w:b/>
                <w:bCs/>
                <w:color w:val="000000"/>
                <w:lang w:val="lt-LT"/>
              </w:rPr>
              <w:t>Europos Sąjungos (ES)</w:t>
            </w:r>
            <w:r w:rsidRPr="009201B2">
              <w:rPr>
                <w:color w:val="000000"/>
                <w:lang w:val="lt-LT"/>
              </w:rPr>
              <w:t xml:space="preserve"> </w:t>
            </w:r>
            <w:r w:rsidRPr="009201B2">
              <w:rPr>
                <w:b/>
                <w:bCs/>
                <w:i/>
                <w:iCs/>
                <w:color w:val="000000"/>
                <w:lang w:val="lt-LT"/>
              </w:rPr>
              <w:t>acquis</w:t>
            </w:r>
            <w:r w:rsidRPr="009201B2">
              <w:rPr>
                <w:color w:val="000000"/>
                <w:lang w:val="lt-LT"/>
              </w:rPr>
              <w:t xml:space="preserve"> </w:t>
            </w:r>
            <w:r w:rsidRPr="009201B2">
              <w:rPr>
                <w:b/>
                <w:bCs/>
                <w:color w:val="000000"/>
                <w:lang w:val="lt-LT"/>
              </w:rPr>
              <w:t>ir ES veiksmų planus</w:t>
            </w:r>
            <w:r w:rsidRPr="009201B2">
              <w:rPr>
                <w:color w:val="000000"/>
                <w:lang w:val="lt-LT"/>
              </w:rPr>
              <w:t xml:space="preserve"> LT</w:t>
            </w:r>
            <w:r w:rsidR="00003C2A" w:rsidRPr="009201B2">
              <w:rPr>
                <w:color w:val="000000"/>
                <w:lang w:val="lt-LT"/>
              </w:rPr>
              <w:t>:</w:t>
            </w:r>
          </w:p>
          <w:p w14:paraId="046B7C70" w14:textId="740A49C7" w:rsidR="00A77B3E" w:rsidRPr="009201B2" w:rsidRDefault="00003C2A" w:rsidP="00BE352F">
            <w:pPr>
              <w:jc w:val="both"/>
              <w:rPr>
                <w:color w:val="000000"/>
                <w:lang w:val="lt-LT"/>
              </w:rPr>
            </w:pPr>
            <w:r w:rsidRPr="009201B2">
              <w:rPr>
                <w:color w:val="000000"/>
                <w:lang w:val="lt-LT"/>
              </w:rPr>
              <w:t xml:space="preserve">1) </w:t>
            </w:r>
            <w:r w:rsidR="001F1AB8" w:rsidRPr="009201B2">
              <w:rPr>
                <w:color w:val="000000"/>
                <w:lang w:val="lt-LT"/>
              </w:rPr>
              <w:t>ėmėsi veiksmų, kad patobulintų esamas informacines sistemas (IS) ir maksimaliai padidintų jų teikiamą naudą</w:t>
            </w:r>
            <w:r w:rsidRPr="009201B2">
              <w:rPr>
                <w:color w:val="000000"/>
                <w:lang w:val="lt-LT"/>
              </w:rPr>
              <w:t xml:space="preserve">: </w:t>
            </w:r>
            <w:r w:rsidR="001F1AB8" w:rsidRPr="009201B2">
              <w:rPr>
                <w:color w:val="000000"/>
                <w:lang w:val="lt-LT"/>
              </w:rPr>
              <w:t>prisijungė prie Europos nuosprendžių registrų informacinės sistemos (ECRIS); pagal Reglamentą (ES) 2019/816 yra kuriamos sąsajos, kad būtų galima prisijungti prie sistemos ECRIS-TCN, skirtos trečiųjų šalių piliečių ir asmenų be pilietybės, kurių atžvilgiu priimtas apkaltinamasis nuosprendis, tapatybei nustatyti</w:t>
            </w:r>
            <w:r w:rsidRPr="009201B2">
              <w:rPr>
                <w:color w:val="000000"/>
                <w:lang w:val="lt-LT"/>
              </w:rPr>
              <w:t>;</w:t>
            </w:r>
          </w:p>
          <w:p w14:paraId="2A917A4E" w14:textId="36E2F1ED" w:rsidR="00A77B3E" w:rsidRPr="009201B2" w:rsidRDefault="00003C2A" w:rsidP="00BE352F">
            <w:pPr>
              <w:jc w:val="both"/>
              <w:rPr>
                <w:color w:val="000000"/>
                <w:lang w:val="lt-LT"/>
              </w:rPr>
            </w:pPr>
            <w:r w:rsidRPr="009201B2">
              <w:rPr>
                <w:color w:val="000000"/>
                <w:lang w:val="lt-LT"/>
              </w:rPr>
              <w:t>2) s</w:t>
            </w:r>
            <w:r w:rsidR="001F1AB8" w:rsidRPr="009201B2">
              <w:rPr>
                <w:color w:val="000000"/>
                <w:lang w:val="lt-LT"/>
              </w:rPr>
              <w:t>iekia užtikrinti ES IS sąveiką policijos ir teisminio bendradarbiavimo, prieglobsčio ir migracijos srityse – pagal Reglamentą 2019/818 daromi pakeitimai, kuriais užtikrinamas sistemingas ES IS naudojimas ir sąveika, kad būtų sukurta bendra paieškos sąsaja, skirta teisėsaugos institucijoms ir automatiniam duomenų tikrinimui</w:t>
            </w:r>
            <w:r w:rsidRPr="009201B2">
              <w:rPr>
                <w:color w:val="000000"/>
                <w:lang w:val="lt-LT"/>
              </w:rPr>
              <w:t>;</w:t>
            </w:r>
          </w:p>
          <w:p w14:paraId="2A0DBCDB" w14:textId="5AC9FC66" w:rsidR="00A77B3E" w:rsidRPr="009201B2" w:rsidRDefault="00003C2A" w:rsidP="00BE352F">
            <w:pPr>
              <w:jc w:val="both"/>
              <w:rPr>
                <w:color w:val="000000"/>
                <w:lang w:val="lt-LT"/>
              </w:rPr>
            </w:pPr>
            <w:r w:rsidRPr="009201B2">
              <w:rPr>
                <w:color w:val="000000"/>
                <w:lang w:val="lt-LT"/>
              </w:rPr>
              <w:t xml:space="preserve">3) </w:t>
            </w:r>
            <w:r w:rsidR="001B7A89" w:rsidRPr="009201B2">
              <w:rPr>
                <w:color w:val="000000"/>
                <w:lang w:val="lt-LT"/>
              </w:rPr>
              <w:t xml:space="preserve">ėmėsi veiksmų, kad nusikalstamumo statistika apie kibernetinius nusikaltimus būtų renkama IS pagal Direktyvą (ES) 2019/713, </w:t>
            </w:r>
            <w:r w:rsidR="00C17A40" w:rsidRPr="009201B2">
              <w:rPr>
                <w:color w:val="000000"/>
                <w:lang w:val="lt-LT"/>
              </w:rPr>
              <w:t>užtikrina Direktyvos 2013/40/ES, kuria pakeičiamas Tarybos pamatinis sprendimas 2005/222/TVR, veikimą visą parą visoje šalyje</w:t>
            </w:r>
            <w:r w:rsidR="007F5D2D">
              <w:rPr>
                <w:color w:val="000000"/>
                <w:lang w:val="lt-LT"/>
              </w:rPr>
              <w:t xml:space="preserve"> </w:t>
            </w:r>
            <w:r w:rsidR="007F5D2D" w:rsidRPr="009201B2">
              <w:rPr>
                <w:color w:val="000000"/>
                <w:lang w:val="lt-LT"/>
              </w:rPr>
              <w:t>veikiančiuose punktuose</w:t>
            </w:r>
            <w:r w:rsidRPr="009201B2">
              <w:rPr>
                <w:color w:val="000000"/>
                <w:lang w:val="lt-LT"/>
              </w:rPr>
              <w:t>;</w:t>
            </w:r>
          </w:p>
          <w:p w14:paraId="6C12F213" w14:textId="16EABC7D" w:rsidR="00A77B3E" w:rsidRPr="009201B2" w:rsidRDefault="00003C2A" w:rsidP="00BE352F">
            <w:pPr>
              <w:jc w:val="both"/>
              <w:rPr>
                <w:color w:val="000000"/>
                <w:lang w:val="lt-LT"/>
              </w:rPr>
            </w:pPr>
            <w:r w:rsidRPr="009201B2">
              <w:rPr>
                <w:color w:val="000000"/>
                <w:lang w:val="lt-LT"/>
              </w:rPr>
              <w:t xml:space="preserve">4) </w:t>
            </w:r>
            <w:r w:rsidR="00C17A40" w:rsidRPr="009201B2">
              <w:rPr>
                <w:color w:val="000000"/>
                <w:lang w:val="lt-LT"/>
              </w:rPr>
              <w:t>užtikrino veiksmingą visų šaunamųjų ginklų, kuriems taikoma Direktyva 2008/51/EB, registravimo duomenų rinkimo sistemų veikimą</w:t>
            </w:r>
            <w:r w:rsidRPr="009201B2">
              <w:rPr>
                <w:color w:val="000000"/>
                <w:lang w:val="lt-LT"/>
              </w:rPr>
              <w:t>;</w:t>
            </w:r>
          </w:p>
          <w:p w14:paraId="2DDDBEE9" w14:textId="61CB5FE0" w:rsidR="00A77B3E" w:rsidRPr="009201B2" w:rsidRDefault="00003C2A" w:rsidP="00BE352F">
            <w:pPr>
              <w:jc w:val="both"/>
              <w:rPr>
                <w:color w:val="000000"/>
                <w:lang w:val="lt-LT"/>
              </w:rPr>
            </w:pPr>
            <w:r w:rsidRPr="009201B2">
              <w:rPr>
                <w:color w:val="000000"/>
                <w:lang w:val="lt-LT"/>
              </w:rPr>
              <w:t xml:space="preserve">5) </w:t>
            </w:r>
            <w:r w:rsidR="00C17A40" w:rsidRPr="009201B2">
              <w:rPr>
                <w:color w:val="000000"/>
                <w:lang w:val="lt-LT"/>
              </w:rPr>
              <w:t>rengia nusikalstamumo statistiką pagal Direktyvos 2014/62/ES 11 straipsnį</w:t>
            </w:r>
            <w:r w:rsidRPr="009201B2">
              <w:rPr>
                <w:color w:val="000000"/>
                <w:lang w:val="lt-LT"/>
              </w:rPr>
              <w:t>;</w:t>
            </w:r>
          </w:p>
          <w:p w14:paraId="2EF1BBCD" w14:textId="0EED1466" w:rsidR="00A77B3E" w:rsidRPr="009201B2" w:rsidRDefault="00003C2A" w:rsidP="00BE352F">
            <w:pPr>
              <w:jc w:val="both"/>
              <w:rPr>
                <w:color w:val="000000"/>
                <w:lang w:val="lt-LT"/>
              </w:rPr>
            </w:pPr>
            <w:r w:rsidRPr="009201B2">
              <w:rPr>
                <w:color w:val="000000"/>
                <w:lang w:val="lt-LT"/>
              </w:rPr>
              <w:t xml:space="preserve">6) </w:t>
            </w:r>
            <w:r w:rsidR="00C17A40" w:rsidRPr="009201B2">
              <w:rPr>
                <w:color w:val="000000"/>
                <w:lang w:val="lt-LT"/>
              </w:rPr>
              <w:t>užtikrina 2008 m. birželio 23 d. Tarybos sprendimo 2008/617/TVR taikymą ir remiasi Tarybos dokumentu Nr. 8311/08</w:t>
            </w:r>
            <w:r w:rsidRPr="009201B2">
              <w:rPr>
                <w:color w:val="000000"/>
                <w:lang w:val="lt-LT"/>
              </w:rPr>
              <w:t>;</w:t>
            </w:r>
          </w:p>
          <w:p w14:paraId="0ABE6212" w14:textId="11FB2ABF" w:rsidR="00A77B3E" w:rsidRPr="009201B2" w:rsidRDefault="00003C2A" w:rsidP="00BE352F">
            <w:pPr>
              <w:jc w:val="both"/>
              <w:rPr>
                <w:color w:val="000000"/>
                <w:lang w:val="lt-LT"/>
              </w:rPr>
            </w:pPr>
            <w:r w:rsidRPr="009201B2">
              <w:rPr>
                <w:color w:val="000000"/>
                <w:lang w:val="lt-LT"/>
              </w:rPr>
              <w:t xml:space="preserve">7) LT </w:t>
            </w:r>
            <w:r w:rsidR="00C17A40" w:rsidRPr="009201B2">
              <w:rPr>
                <w:color w:val="000000"/>
                <w:lang w:val="lt-LT"/>
              </w:rPr>
              <w:t>turės užtikrinti visapusišką pasirengimą tinkamam Reglamento 2021/784 įgyvendinimui;</w:t>
            </w:r>
          </w:p>
          <w:p w14:paraId="44C501AA" w14:textId="2111AFB3" w:rsidR="00A77B3E" w:rsidRPr="009201B2" w:rsidRDefault="00003C2A" w:rsidP="00BE352F">
            <w:pPr>
              <w:jc w:val="both"/>
              <w:rPr>
                <w:color w:val="000000"/>
                <w:lang w:val="lt-LT"/>
              </w:rPr>
            </w:pPr>
            <w:r w:rsidRPr="009201B2">
              <w:rPr>
                <w:color w:val="000000"/>
                <w:lang w:val="lt-LT"/>
              </w:rPr>
              <w:t xml:space="preserve">8) </w:t>
            </w:r>
            <w:r w:rsidR="00C17A40" w:rsidRPr="009201B2">
              <w:rPr>
                <w:color w:val="000000"/>
                <w:lang w:val="lt-LT"/>
              </w:rPr>
              <w:t xml:space="preserve">svarbu tęsti </w:t>
            </w:r>
            <w:r w:rsidR="00C17A40" w:rsidRPr="009201B2">
              <w:rPr>
                <w:b/>
                <w:bCs/>
                <w:color w:val="000000"/>
                <w:lang w:val="lt-LT"/>
              </w:rPr>
              <w:t>Šengeno</w:t>
            </w:r>
            <w:r w:rsidR="00C17A40" w:rsidRPr="009201B2">
              <w:rPr>
                <w:color w:val="000000"/>
                <w:lang w:val="lt-LT"/>
              </w:rPr>
              <w:t xml:space="preserve"> </w:t>
            </w:r>
            <w:r w:rsidRPr="009201B2">
              <w:rPr>
                <w:b/>
                <w:bCs/>
                <w:i/>
                <w:iCs/>
                <w:color w:val="000000"/>
                <w:lang w:val="lt-LT"/>
              </w:rPr>
              <w:t>acquis</w:t>
            </w:r>
            <w:r w:rsidR="00C17A40" w:rsidRPr="009201B2">
              <w:rPr>
                <w:color w:val="000000"/>
                <w:lang w:val="lt-LT"/>
              </w:rPr>
              <w:t xml:space="preserve"> įgyvendinimą. Laisvas asmenų judėjimas Šengeno erdvėje taip pat gali sudaryti palankesnes sąlygas nusikalstamai veiklai, todėl tai turi būti kompensuojama glaudesniu teisėsaugos institucijų bendradarbiavimu. </w:t>
            </w:r>
          </w:p>
          <w:p w14:paraId="54DDA847" w14:textId="0CCC1B49" w:rsidR="00A77B3E" w:rsidRPr="009201B2" w:rsidRDefault="003B1EE3" w:rsidP="00BE352F">
            <w:pPr>
              <w:jc w:val="both"/>
              <w:rPr>
                <w:color w:val="000000"/>
                <w:lang w:val="lt-LT"/>
              </w:rPr>
            </w:pPr>
            <w:r w:rsidRPr="009201B2">
              <w:rPr>
                <w:color w:val="000000"/>
                <w:lang w:val="lt-LT"/>
              </w:rPr>
              <w:lastRenderedPageBreak/>
              <w:t>Įgyvendin</w:t>
            </w:r>
            <w:r w:rsidR="007F5D2D">
              <w:rPr>
                <w:color w:val="000000"/>
                <w:lang w:val="lt-LT"/>
              </w:rPr>
              <w:t>dama</w:t>
            </w:r>
            <w:r w:rsidRPr="009201B2">
              <w:rPr>
                <w:color w:val="000000"/>
                <w:lang w:val="lt-LT"/>
              </w:rPr>
              <w:t xml:space="preserve"> </w:t>
            </w:r>
            <w:r w:rsidRPr="009201B2">
              <w:rPr>
                <w:b/>
                <w:bCs/>
                <w:color w:val="000000"/>
                <w:lang w:val="lt-LT"/>
              </w:rPr>
              <w:t xml:space="preserve">ES </w:t>
            </w:r>
            <w:r w:rsidRPr="009201B2">
              <w:rPr>
                <w:b/>
                <w:bCs/>
                <w:i/>
                <w:iCs/>
                <w:color w:val="000000"/>
                <w:lang w:val="lt-LT"/>
              </w:rPr>
              <w:t>acquis</w:t>
            </w:r>
            <w:r w:rsidRPr="009201B2">
              <w:rPr>
                <w:color w:val="000000"/>
                <w:lang w:val="lt-LT"/>
              </w:rPr>
              <w:t>, reglamentuojantį tarpvalstybinį bendradarbiavimą, keitimąsi informacija, kovą su terorizmu ir tarpvalstybiniu nusikalstamumu, LT padarė didelę pažangą: teisėsaugos institucijos turi galimybę keistis ir keičiasi duomenimis ir kita informacija su ES valstybėmis narėmis (VN) ir trečiosiomis šalimis</w:t>
            </w:r>
            <w:r w:rsidR="00003C2A" w:rsidRPr="009201B2">
              <w:rPr>
                <w:color w:val="000000"/>
                <w:lang w:val="lt-LT"/>
              </w:rPr>
              <w:t xml:space="preserve">; </w:t>
            </w:r>
            <w:r w:rsidR="00D05D5F" w:rsidRPr="009201B2">
              <w:rPr>
                <w:color w:val="000000"/>
                <w:lang w:val="lt-LT"/>
              </w:rPr>
              <w:t>keleivio duomenų įrašo (</w:t>
            </w:r>
            <w:r w:rsidR="00003C2A" w:rsidRPr="009201B2">
              <w:rPr>
                <w:color w:val="000000"/>
                <w:lang w:val="lt-LT"/>
              </w:rPr>
              <w:t>PNR</w:t>
            </w:r>
            <w:r w:rsidR="00D05D5F" w:rsidRPr="009201B2">
              <w:rPr>
                <w:color w:val="000000"/>
                <w:lang w:val="lt-LT"/>
              </w:rPr>
              <w:t>) ir išankstinės informacijos apie keleivius (</w:t>
            </w:r>
            <w:r w:rsidR="00003C2A" w:rsidRPr="009201B2">
              <w:rPr>
                <w:color w:val="000000"/>
                <w:lang w:val="lt-LT"/>
              </w:rPr>
              <w:t>API</w:t>
            </w:r>
            <w:r w:rsidR="00D05D5F" w:rsidRPr="009201B2">
              <w:rPr>
                <w:color w:val="000000"/>
                <w:lang w:val="lt-LT"/>
              </w:rPr>
              <w:t>) direktyvos perkeltos į nacionalinę teisę; teisėsaugos pareigūnai gali naudotis ES teisingumo ir vidaus reikalų institucijų informacijos ir duomenų bazėmis</w:t>
            </w:r>
            <w:r w:rsidR="00003C2A" w:rsidRPr="009201B2">
              <w:rPr>
                <w:color w:val="000000"/>
                <w:lang w:val="lt-LT"/>
              </w:rPr>
              <w:t xml:space="preserve">. </w:t>
            </w:r>
            <w:r w:rsidR="00D05D5F" w:rsidRPr="009201B2">
              <w:rPr>
                <w:color w:val="000000"/>
                <w:lang w:val="lt-LT"/>
              </w:rPr>
              <w:t>Taip pat padaryta pažanga derinant tam tikrus teisėsaugos veiklos standartus pagal ES geriausią praktiką ir reglamentavimą (pvz., dėl kovos su riaušėmis įrang</w:t>
            </w:r>
            <w:r w:rsidR="007F5D2D">
              <w:rPr>
                <w:color w:val="000000"/>
                <w:lang w:val="lt-LT"/>
              </w:rPr>
              <w:t>os</w:t>
            </w:r>
            <w:r w:rsidR="00D05D5F" w:rsidRPr="009201B2">
              <w:rPr>
                <w:color w:val="000000"/>
                <w:lang w:val="lt-LT"/>
              </w:rPr>
              <w:t>, policijos taktikos). Bendradarbiaujant su kitomis ES valstybėmis narėmis bendruose tyrimuose, operacijose ir tarptautinėse misijose, veiksmingai naudojamos įgytos žinios ir įranga</w:t>
            </w:r>
            <w:r w:rsidR="00003C2A" w:rsidRPr="009201B2">
              <w:rPr>
                <w:color w:val="000000"/>
                <w:lang w:val="lt-LT"/>
              </w:rPr>
              <w:t>.</w:t>
            </w:r>
          </w:p>
          <w:p w14:paraId="568D9D9C" w14:textId="0D3F7FD0" w:rsidR="00A77B3E" w:rsidRPr="009201B2" w:rsidRDefault="00D05D5F" w:rsidP="00BE352F">
            <w:pPr>
              <w:jc w:val="both"/>
              <w:rPr>
                <w:color w:val="000000"/>
                <w:lang w:val="lt-LT"/>
              </w:rPr>
            </w:pPr>
            <w:r w:rsidRPr="009201B2">
              <w:rPr>
                <w:color w:val="000000"/>
                <w:lang w:val="lt-LT"/>
              </w:rPr>
              <w:t xml:space="preserve">Be to, įgyvendinant projektus, finansuojamus pagal </w:t>
            </w:r>
            <w:r w:rsidRPr="009201B2">
              <w:rPr>
                <w:b/>
                <w:bCs/>
                <w:color w:val="000000"/>
                <w:lang w:val="lt-LT"/>
              </w:rPr>
              <w:t xml:space="preserve">nacionalinę Vidaus saugumo fondo (VSF) </w:t>
            </w:r>
            <w:r w:rsidR="00450878" w:rsidRPr="009201B2">
              <w:rPr>
                <w:b/>
                <w:bCs/>
                <w:color w:val="000000"/>
                <w:lang w:val="lt-LT"/>
              </w:rPr>
              <w:t>2014</w:t>
            </w:r>
            <w:r w:rsidR="00450878">
              <w:rPr>
                <w:b/>
                <w:bCs/>
                <w:color w:val="000000"/>
                <w:lang w:val="lt-LT"/>
              </w:rPr>
              <w:t>–</w:t>
            </w:r>
            <w:r w:rsidR="00450878" w:rsidRPr="009201B2">
              <w:rPr>
                <w:b/>
                <w:bCs/>
                <w:color w:val="000000"/>
                <w:lang w:val="lt-LT"/>
              </w:rPr>
              <w:t xml:space="preserve">2020 m. </w:t>
            </w:r>
            <w:r w:rsidRPr="009201B2">
              <w:rPr>
                <w:b/>
                <w:bCs/>
                <w:color w:val="000000"/>
                <w:lang w:val="lt-LT"/>
              </w:rPr>
              <w:t>programą</w:t>
            </w:r>
            <w:r w:rsidRPr="009201B2">
              <w:rPr>
                <w:color w:val="000000"/>
                <w:lang w:val="lt-LT"/>
              </w:rPr>
              <w:t>, padaryta didelė pažanga aprūpinant LT teisėsaugos institucijas pažangiomis nusikalstamų veikų tyrimo priemonėmis, stiprinant jų gebėjimus tirti ir atskleisti nusikalstamas veikas bei reaguoti į galimą grėsmę saugumui. VSF lėšos padėjo pasirengti 2018 m. vykusiems Šengeno vertinimams dėl policijos bendradarbiavimo. Sėkmingą praktiką planuojama tęsti naudojant naujojo laikotarpio lėšas, skirtas pasirengti 2023 m. vertinimams ir įgyvendinti veiksmų planus, susijusius su Šengeno vertinimų metu nustatytų trūkumų šalinimu</w:t>
            </w:r>
            <w:r w:rsidR="00003C2A" w:rsidRPr="009201B2">
              <w:rPr>
                <w:color w:val="000000"/>
                <w:lang w:val="lt-LT"/>
              </w:rPr>
              <w:t>.</w:t>
            </w:r>
          </w:p>
          <w:p w14:paraId="11E44024" w14:textId="1A684542" w:rsidR="00A77B3E" w:rsidRPr="009201B2" w:rsidRDefault="00450878" w:rsidP="00BE352F">
            <w:pPr>
              <w:jc w:val="both"/>
              <w:rPr>
                <w:color w:val="000000"/>
                <w:lang w:val="lt-LT"/>
              </w:rPr>
            </w:pPr>
            <w:r w:rsidRPr="009201B2">
              <w:rPr>
                <w:b/>
                <w:bCs/>
                <w:color w:val="000000"/>
                <w:lang w:val="lt-LT"/>
              </w:rPr>
              <w:t xml:space="preserve">VSF </w:t>
            </w:r>
            <w:r w:rsidR="00D05D5F" w:rsidRPr="009201B2">
              <w:rPr>
                <w:b/>
                <w:bCs/>
                <w:color w:val="000000"/>
                <w:lang w:val="lt-LT"/>
              </w:rPr>
              <w:t>2021</w:t>
            </w:r>
            <w:r>
              <w:rPr>
                <w:b/>
                <w:bCs/>
                <w:color w:val="000000"/>
                <w:lang w:val="lt-LT"/>
              </w:rPr>
              <w:t>–</w:t>
            </w:r>
            <w:r w:rsidR="00D05D5F" w:rsidRPr="009201B2">
              <w:rPr>
                <w:b/>
                <w:bCs/>
                <w:color w:val="000000"/>
                <w:lang w:val="lt-LT"/>
              </w:rPr>
              <w:t>2027 m. programoje</w:t>
            </w:r>
            <w:r w:rsidR="00D05D5F" w:rsidRPr="009201B2">
              <w:rPr>
                <w:color w:val="000000"/>
                <w:lang w:val="lt-LT"/>
              </w:rPr>
              <w:t xml:space="preserve"> suplanuotais veiksmais ir toliau bus prisidedama prie ES saugumo strategijos ir kitų ES ir nacionalinių dokumentų, susijusių su vidaus saugumu, įgyvendinimo 2021</w:t>
            </w:r>
            <w:r w:rsidR="00196C27">
              <w:rPr>
                <w:color w:val="000000"/>
                <w:lang w:val="lt-LT"/>
              </w:rPr>
              <w:t>–</w:t>
            </w:r>
            <w:r w:rsidR="00D05D5F" w:rsidRPr="009201B2">
              <w:rPr>
                <w:color w:val="000000"/>
                <w:lang w:val="lt-LT"/>
              </w:rPr>
              <w:t>2027 m. laikotarpiu</w:t>
            </w:r>
            <w:r w:rsidR="008D5688" w:rsidRPr="009201B2">
              <w:rPr>
                <w:color w:val="000000"/>
                <w:lang w:val="lt-LT"/>
              </w:rPr>
              <w:t>.</w:t>
            </w:r>
          </w:p>
          <w:p w14:paraId="7C7D7014" w14:textId="6DADBE39" w:rsidR="00A77B3E" w:rsidRPr="009201B2" w:rsidRDefault="00450878" w:rsidP="00BE352F">
            <w:pPr>
              <w:jc w:val="both"/>
              <w:rPr>
                <w:color w:val="000000"/>
                <w:lang w:val="lt-LT"/>
              </w:rPr>
            </w:pPr>
            <w:r w:rsidRPr="009201B2">
              <w:rPr>
                <w:b/>
                <w:bCs/>
                <w:color w:val="000000"/>
                <w:lang w:val="lt-LT"/>
              </w:rPr>
              <w:t>VSF</w:t>
            </w:r>
            <w:r w:rsidRPr="009201B2">
              <w:rPr>
                <w:color w:val="000000"/>
                <w:lang w:val="lt-LT"/>
              </w:rPr>
              <w:t xml:space="preserve"> </w:t>
            </w:r>
            <w:r w:rsidR="00003C2A" w:rsidRPr="009201B2">
              <w:rPr>
                <w:b/>
                <w:bCs/>
                <w:color w:val="000000"/>
                <w:lang w:val="lt-LT"/>
              </w:rPr>
              <w:t>2021</w:t>
            </w:r>
            <w:r>
              <w:rPr>
                <w:b/>
                <w:bCs/>
                <w:color w:val="000000"/>
                <w:lang w:val="lt-LT"/>
              </w:rPr>
              <w:t>–</w:t>
            </w:r>
            <w:r w:rsidR="00003C2A" w:rsidRPr="009201B2">
              <w:rPr>
                <w:b/>
                <w:bCs/>
                <w:color w:val="000000"/>
                <w:lang w:val="lt-LT"/>
              </w:rPr>
              <w:t xml:space="preserve">2027 </w:t>
            </w:r>
            <w:r w:rsidR="001F68B6" w:rsidRPr="009201B2">
              <w:rPr>
                <w:b/>
                <w:bCs/>
                <w:color w:val="000000"/>
                <w:lang w:val="lt-LT"/>
              </w:rPr>
              <w:t xml:space="preserve">m. </w:t>
            </w:r>
            <w:r w:rsidR="001F68B6" w:rsidRPr="009201B2">
              <w:rPr>
                <w:color w:val="000000"/>
                <w:lang w:val="lt-LT"/>
              </w:rPr>
              <w:t>programos lėšos bus naudojamos teisiniams ir techniniams sprendimams, susijusiems su 2018</w:t>
            </w:r>
            <w:r w:rsidR="00196C27">
              <w:rPr>
                <w:color w:val="000000"/>
                <w:lang w:val="lt-LT"/>
              </w:rPr>
              <w:t>–</w:t>
            </w:r>
            <w:r w:rsidR="001F68B6" w:rsidRPr="009201B2">
              <w:rPr>
                <w:color w:val="000000"/>
                <w:lang w:val="lt-LT"/>
              </w:rPr>
              <w:t>2019 m. priimtais ES reglamentais dėl teisingumo ir vidaus reikalų srities IS sąveikos, rengti ir įgyvendinti. Šiuo metu vyksta pasirengimo ir planavimo procesas, kuriame dalyvauja kelios institucijos. Vėluojant įgyvendinti bet kurį iš komponentų ar sistemų nacionaliniu lygmeniu, visa ES sąveikumo sistema taip pat negalėtų visapusiškai veikti, todėl VSF lėšos padės užtikrinti, kad 2021</w:t>
            </w:r>
            <w:r w:rsidR="00196C27">
              <w:rPr>
                <w:color w:val="000000"/>
                <w:lang w:val="lt-LT"/>
              </w:rPr>
              <w:t>–</w:t>
            </w:r>
            <w:r w:rsidR="001F68B6" w:rsidRPr="009201B2">
              <w:rPr>
                <w:color w:val="000000"/>
                <w:lang w:val="lt-LT"/>
              </w:rPr>
              <w:t xml:space="preserve">2027 m. programavimo laikotarpiu minėti reglamentai būtų laiku įgyvendinti nacionaliniu lygmeniu. Reikia užbaigti didelės apimties su saugumu susijusių ES IS ir, jei reikia, nacionalinių IS ir IT priemonių diegimą, kad būtų užtikrintas ES ir nacionalinių IS sąveikumas, kad teisėsaugos institucijos galėtų saugiai keistis informacija tiek šalies viduje, tiek su kitomis ES kompetentingomis institucijomis. </w:t>
            </w:r>
          </w:p>
          <w:p w14:paraId="7341A8A6" w14:textId="1BDD341D" w:rsidR="00A77B3E" w:rsidRPr="009201B2" w:rsidRDefault="004D0B61" w:rsidP="00BE352F">
            <w:pPr>
              <w:jc w:val="both"/>
              <w:rPr>
                <w:color w:val="000000"/>
                <w:lang w:val="lt-LT"/>
              </w:rPr>
            </w:pPr>
            <w:r w:rsidRPr="009201B2">
              <w:rPr>
                <w:color w:val="000000"/>
                <w:lang w:val="lt-LT"/>
              </w:rPr>
              <w:t>Vienas iš VSF programos tikslų – rasti novatoriškus informacijos rinkimo ir analizės kibernetinėje erdvėje sprendimus, siekiant užtikrinti centralizuotą informacijos rinkimą, kaupimą ir analizę pagal vienodus standartus, taip pat operatyviai ir saugiai keistis tokia informacija tarp visų LT teisėsaugos institucijų</w:t>
            </w:r>
            <w:r w:rsidR="00003C2A" w:rsidRPr="009201B2">
              <w:rPr>
                <w:color w:val="000000"/>
                <w:lang w:val="lt-LT"/>
              </w:rPr>
              <w:t xml:space="preserve">. </w:t>
            </w:r>
            <w:r w:rsidRPr="009201B2">
              <w:rPr>
                <w:color w:val="000000"/>
                <w:lang w:val="lt-LT"/>
              </w:rPr>
              <w:t>Įgyvendinant 2021</w:t>
            </w:r>
            <w:r w:rsidR="00B12015">
              <w:rPr>
                <w:color w:val="000000"/>
                <w:lang w:val="lt-LT"/>
              </w:rPr>
              <w:t>–</w:t>
            </w:r>
            <w:r w:rsidRPr="009201B2">
              <w:rPr>
                <w:color w:val="000000"/>
                <w:lang w:val="lt-LT"/>
              </w:rPr>
              <w:t>2025 m. ES kovos su narkotikais strategiją ir 2021</w:t>
            </w:r>
            <w:r w:rsidR="00B12015">
              <w:rPr>
                <w:color w:val="000000"/>
                <w:lang w:val="lt-LT"/>
              </w:rPr>
              <w:t>–</w:t>
            </w:r>
            <w:r w:rsidRPr="009201B2">
              <w:rPr>
                <w:color w:val="000000"/>
                <w:lang w:val="lt-LT"/>
              </w:rPr>
              <w:t>2025 m. ES kovos su narkotikais veiksmų planą, bus sistemingai planuojamos ir įgyvendinamos kovos su neteisėta prekyba narkotikais priemonės. Ši sritis Tarybos išvadose dėl 2022</w:t>
            </w:r>
            <w:r w:rsidR="00B12015">
              <w:rPr>
                <w:color w:val="000000"/>
                <w:lang w:val="lt-LT"/>
              </w:rPr>
              <w:t>–</w:t>
            </w:r>
            <w:r w:rsidRPr="009201B2">
              <w:rPr>
                <w:color w:val="000000"/>
                <w:lang w:val="lt-LT"/>
              </w:rPr>
              <w:t xml:space="preserve">2025 m. ES kovos su sunkiu ir organizuotu nusikalstamumu prioritetų </w:t>
            </w:r>
            <w:r w:rsidRPr="009201B2">
              <w:rPr>
                <w:rFonts w:asciiTheme="majorBidi" w:hAnsiTheme="majorBidi" w:cstheme="majorBidi"/>
                <w:shd w:val="clear" w:color="auto" w:fill="FFFFFF"/>
                <w:lang w:val="lt-LT"/>
              </w:rPr>
              <w:t>Europos kovos su nusikalstamumo grėsmėmis daugiadalykėje  platformoje (</w:t>
            </w:r>
            <w:r w:rsidRPr="009201B2">
              <w:rPr>
                <w:color w:val="000000"/>
                <w:lang w:val="lt-LT"/>
              </w:rPr>
              <w:t>EMPACT)  nurodyta kaip vienas iš prioritetų</w:t>
            </w:r>
            <w:r w:rsidR="00003C2A" w:rsidRPr="009201B2">
              <w:rPr>
                <w:color w:val="000000"/>
                <w:lang w:val="lt-LT"/>
              </w:rPr>
              <w:t>.</w:t>
            </w:r>
          </w:p>
          <w:p w14:paraId="38EFCC09" w14:textId="2AD6EB49" w:rsidR="00A77B3E" w:rsidRPr="009201B2" w:rsidRDefault="00AA232E" w:rsidP="00BE352F">
            <w:pPr>
              <w:jc w:val="both"/>
              <w:rPr>
                <w:color w:val="000000"/>
                <w:lang w:val="lt-LT"/>
              </w:rPr>
            </w:pPr>
            <w:r w:rsidRPr="009201B2">
              <w:rPr>
                <w:color w:val="000000"/>
                <w:lang w:val="lt-LT"/>
              </w:rPr>
              <w:t>Technologinės inovacijos (</w:t>
            </w:r>
            <w:r w:rsidR="009201B2" w:rsidRPr="009201B2">
              <w:rPr>
                <w:color w:val="000000"/>
                <w:lang w:val="lt-LT"/>
              </w:rPr>
              <w:t xml:space="preserve">finansinės technologijos arba </w:t>
            </w:r>
            <w:r w:rsidR="009201B2">
              <w:rPr>
                <w:color w:val="000000"/>
                <w:lang w:val="lt-LT"/>
              </w:rPr>
              <w:t>„</w:t>
            </w:r>
            <w:r w:rsidRPr="009201B2">
              <w:rPr>
                <w:color w:val="000000"/>
                <w:lang w:val="lt-LT"/>
              </w:rPr>
              <w:t>Fin</w:t>
            </w:r>
            <w:r w:rsidR="009201B2">
              <w:rPr>
                <w:color w:val="000000"/>
                <w:lang w:val="lt-LT"/>
              </w:rPr>
              <w:t>T</w:t>
            </w:r>
            <w:r w:rsidRPr="009201B2">
              <w:rPr>
                <w:color w:val="000000"/>
                <w:lang w:val="lt-LT"/>
              </w:rPr>
              <w:t>ech</w:t>
            </w:r>
            <w:r w:rsidR="009201B2">
              <w:rPr>
                <w:color w:val="000000"/>
                <w:lang w:val="lt-LT"/>
              </w:rPr>
              <w:t>“</w:t>
            </w:r>
            <w:r w:rsidRPr="009201B2">
              <w:rPr>
                <w:color w:val="000000"/>
                <w:lang w:val="lt-LT"/>
              </w:rPr>
              <w:t>) sparčiai keičia finansinių paslaugų sektorių. Kartu technologinės inovacijos tampa priedanga nusikalstamu būdu gautoms pajamoms nuslėpti. Vadinamieji pirminiai nusikaltimai (pavyzdžiui, prekyba ginklais, mokestiniai nusikaltimai, kontrabanda, dalyvavimas organizuotoje nusikalstamoje grupėje, reketas, prekyba narkotinėmis ir psichotropinėmis medžiagomis, prekyba žmonėmis, kyšininkavimas, kibernetiniai nusikaltimai ir t. t.) generuoja dideles neteisėtų pajamų sumas, kurias nusikaltėliai įvairiais būdais bando įteisinti plaudami pinigus, kartu palengvindami terorizmo finansavimą.</w:t>
            </w:r>
            <w:r w:rsidR="00003C2A" w:rsidRPr="009201B2">
              <w:rPr>
                <w:color w:val="000000"/>
                <w:lang w:val="lt-LT"/>
              </w:rPr>
              <w:t xml:space="preserve"> </w:t>
            </w:r>
            <w:r w:rsidRPr="009201B2">
              <w:rPr>
                <w:color w:val="000000"/>
                <w:lang w:val="lt-LT"/>
              </w:rPr>
              <w:t>Terorizmo finansavimo schemos gali būti sunkiai aptinkamos ir ne iš karto atpažįstamos, pavyzdžiui, per socialinius tinklus, sutelktinį finansavimą, prisidengus labdaros ar nevyriausybinėmis organizacijomis, kriptovaliutas, elektronines mokėjimo priemones ir sudėtingas pinigų pervedimo grandines</w:t>
            </w:r>
            <w:r w:rsidR="00003C2A" w:rsidRPr="009201B2">
              <w:rPr>
                <w:color w:val="000000"/>
                <w:lang w:val="lt-LT"/>
              </w:rPr>
              <w:t xml:space="preserve">. </w:t>
            </w:r>
            <w:r w:rsidR="006A5810" w:rsidRPr="009201B2">
              <w:rPr>
                <w:color w:val="000000"/>
                <w:lang w:val="lt-LT"/>
              </w:rPr>
              <w:t xml:space="preserve">Finansinių nusikaltimų tyrimo tarnyba (FNTT) yra teisėsaugos institucija ir pagrindinė šalies institucija, koordinuojanti visų institucijų, dalyvaujančių pinigų plovimo ir teroristų finansavimo prevencijos (PP/TF) veikloje, bendradarbiavimą. FNTT turi prieigą prie informacijos, gautos iš valstybės ir užsienio institucijų. Todėl VSF lėšomis planuojama stiprinti už bendradarbiavimą (PP / TF) prevencijos srityje atsakingos teisėsaugos institucijos – FNTT – gebėjimus tinkamai reaguoti į naujus iššūkius. Bus imamasi priemonių, kad </w:t>
            </w:r>
            <w:r w:rsidR="009201B2" w:rsidRPr="009201B2">
              <w:rPr>
                <w:color w:val="000000"/>
                <w:lang w:val="lt-LT"/>
              </w:rPr>
              <w:t>ne</w:t>
            </w:r>
            <w:r w:rsidR="006A5810" w:rsidRPr="009201B2">
              <w:rPr>
                <w:color w:val="000000"/>
                <w:lang w:val="lt-LT"/>
              </w:rPr>
              <w:t>būtų atsilikta n</w:t>
            </w:r>
            <w:r w:rsidR="006A5810" w:rsidRPr="009201B2">
              <w:rPr>
                <w:lang w:val="lt-LT"/>
              </w:rPr>
              <w:t xml:space="preserve">uo </w:t>
            </w:r>
            <w:r w:rsidR="006A5810" w:rsidRPr="009201B2">
              <w:rPr>
                <w:color w:val="000000"/>
                <w:lang w:val="lt-LT"/>
              </w:rPr>
              <w:t xml:space="preserve">šiuolaikinių technologinių tendencijų – tobulinama turima techninė ir informacinė bazė, specialistų kompetencija. </w:t>
            </w:r>
          </w:p>
          <w:p w14:paraId="6273461E" w14:textId="120D23D1" w:rsidR="00A77B3E" w:rsidRPr="009201B2" w:rsidRDefault="00EC398E" w:rsidP="00BE352F">
            <w:pPr>
              <w:jc w:val="both"/>
              <w:rPr>
                <w:color w:val="000000"/>
                <w:lang w:val="lt-LT"/>
              </w:rPr>
            </w:pPr>
            <w:r w:rsidRPr="009201B2">
              <w:rPr>
                <w:color w:val="000000"/>
                <w:lang w:val="lt-LT"/>
              </w:rPr>
              <w:t xml:space="preserve">Vidurio laikotarpio apžvalga: </w:t>
            </w:r>
            <w:r w:rsidR="009201B2" w:rsidRPr="009201B2">
              <w:rPr>
                <w:color w:val="000000"/>
                <w:lang w:val="lt-LT"/>
              </w:rPr>
              <w:t>2019</w:t>
            </w:r>
            <w:r w:rsidR="007F5D2D">
              <w:rPr>
                <w:color w:val="000000"/>
                <w:lang w:val="lt-LT"/>
              </w:rPr>
              <w:t xml:space="preserve"> </w:t>
            </w:r>
            <w:r w:rsidR="009201B2" w:rsidRPr="009201B2">
              <w:rPr>
                <w:color w:val="000000"/>
                <w:lang w:val="lt-LT"/>
              </w:rPr>
              <w:t xml:space="preserve">m. Europolo parengtame politikos cikle </w:t>
            </w:r>
            <w:r w:rsidR="00B32A2A" w:rsidRPr="009201B2">
              <w:rPr>
                <w:color w:val="000000"/>
                <w:lang w:val="lt-LT"/>
              </w:rPr>
              <w:t>„</w:t>
            </w:r>
            <w:r w:rsidRPr="009201B2">
              <w:rPr>
                <w:color w:val="000000"/>
                <w:lang w:val="lt-LT"/>
              </w:rPr>
              <w:t>Naujos, kintančios ar kylančios grėsmės</w:t>
            </w:r>
            <w:r w:rsidR="00B32A2A" w:rsidRPr="009201B2">
              <w:rPr>
                <w:color w:val="000000"/>
                <w:lang w:val="lt-LT"/>
              </w:rPr>
              <w:t>“</w:t>
            </w:r>
            <w:r w:rsidRPr="009201B2">
              <w:rPr>
                <w:color w:val="000000"/>
                <w:lang w:val="lt-LT"/>
              </w:rPr>
              <w:t xml:space="preserve"> nurodoma, kad </w:t>
            </w:r>
            <w:r w:rsidR="00B32A2A" w:rsidRPr="009201B2">
              <w:rPr>
                <w:color w:val="000000"/>
                <w:lang w:val="lt-LT"/>
              </w:rPr>
              <w:t>„</w:t>
            </w:r>
            <w:r w:rsidRPr="009201B2">
              <w:rPr>
                <w:color w:val="000000"/>
                <w:lang w:val="lt-LT"/>
              </w:rPr>
              <w:t>apskaičiuoti mokesčių nuostoliai ES dėl neteisėto cigarečių platinimo išlieka stabilūs ir siekia maždaug 10 mlrd. eurų per metus</w:t>
            </w:r>
            <w:r w:rsidR="00B32A2A" w:rsidRPr="009201B2">
              <w:rPr>
                <w:color w:val="000000"/>
                <w:lang w:val="lt-LT"/>
              </w:rPr>
              <w:t>“</w:t>
            </w:r>
            <w:r w:rsidRPr="009201B2">
              <w:rPr>
                <w:color w:val="000000"/>
                <w:lang w:val="lt-LT"/>
              </w:rPr>
              <w:t xml:space="preserve">, o </w:t>
            </w:r>
            <w:r w:rsidR="00B32A2A" w:rsidRPr="009201B2">
              <w:rPr>
                <w:color w:val="000000"/>
                <w:lang w:val="lt-LT"/>
              </w:rPr>
              <w:t>„</w:t>
            </w:r>
            <w:r w:rsidRPr="009201B2">
              <w:rPr>
                <w:color w:val="000000"/>
                <w:lang w:val="lt-LT"/>
              </w:rPr>
              <w:t xml:space="preserve">pagrindiniai prekybos keliai, </w:t>
            </w:r>
            <w:r w:rsidRPr="009201B2">
              <w:rPr>
                <w:color w:val="000000"/>
                <w:lang w:val="lt-LT"/>
              </w:rPr>
              <w:lastRenderedPageBreak/>
              <w:t>kuriais į ES patenka neteisėti tabako gaminiai, išliko nepakitę ir daugiausia veikia rytines ES išorės sienas</w:t>
            </w:r>
            <w:r w:rsidR="00B32A2A" w:rsidRPr="009201B2">
              <w:rPr>
                <w:color w:val="000000"/>
                <w:lang w:val="lt-LT"/>
              </w:rPr>
              <w:t>“</w:t>
            </w:r>
            <w:r w:rsidRPr="009201B2">
              <w:rPr>
                <w:color w:val="000000"/>
                <w:lang w:val="lt-LT"/>
              </w:rPr>
              <w:t>. Tabako gaminių kontrabandos prevencija yra vienas iš LT teisėsaugos institucijų prioritetų. Lietuva nuo 2017 m. aktyviai dalyvauja</w:t>
            </w:r>
            <w:r w:rsidR="00B32A2A" w:rsidRPr="009201B2">
              <w:rPr>
                <w:color w:val="000000"/>
                <w:lang w:val="lt-LT"/>
              </w:rPr>
              <w:t xml:space="preserve"> </w:t>
            </w:r>
            <w:r w:rsidR="00B32A2A" w:rsidRPr="009201B2">
              <w:rPr>
                <w:b/>
                <w:bCs/>
                <w:color w:val="000000"/>
                <w:lang w:val="lt-LT"/>
              </w:rPr>
              <w:t xml:space="preserve">EMPACT </w:t>
            </w:r>
            <w:r w:rsidR="00B32A2A" w:rsidRPr="009201B2">
              <w:rPr>
                <w:color w:val="000000"/>
                <w:lang w:val="lt-LT"/>
              </w:rPr>
              <w:t xml:space="preserve">prioriteto „Sukčiavimas akcizų srityje“ operatyvinio veiksmų plano (OAP) veikloje. Be to, nuo 2019 m. Muitinės kriminalinės tarnybos (MKT) pareigūnai skatina šio EMPACT prioriteto įgyvendinimą. VSF lėšos bus naudojamos MKT kriminalinės žvalgybos IS atnaujinti ir tobulinti, taip pat naudojamos keitimuisi informacija su kitų šalių teisėsaugos institucijomis, </w:t>
            </w:r>
            <w:r w:rsidR="00097862" w:rsidRPr="00097862">
              <w:rPr>
                <w:color w:val="000000"/>
                <w:lang w:val="lt-LT"/>
              </w:rPr>
              <w:t xml:space="preserve">įsigyti specialios paskirties transporto priemonių ir techninės įrangos, skirtos kriminalinės žvalgybos veiklai, kuri taip pat bus naudojama dalyvaujant tarptautinėse operacijose arba vykdant daugiašales </w:t>
            </w:r>
            <w:r w:rsidR="00C47598">
              <w:rPr>
                <w:color w:val="000000"/>
                <w:lang w:val="lt-LT"/>
              </w:rPr>
              <w:t xml:space="preserve">kriminalinių nusikaltimų </w:t>
            </w:r>
            <w:r w:rsidR="00097862" w:rsidRPr="00097862">
              <w:rPr>
                <w:color w:val="000000"/>
                <w:lang w:val="lt-LT"/>
              </w:rPr>
              <w:t>tyrimo priemones</w:t>
            </w:r>
            <w:r w:rsidR="00C47598">
              <w:rPr>
                <w:color w:val="000000"/>
                <w:lang w:val="lt-LT"/>
              </w:rPr>
              <w:t xml:space="preserve">. </w:t>
            </w:r>
          </w:p>
          <w:p w14:paraId="45B2D737" w14:textId="10250059" w:rsidR="000B2550" w:rsidRPr="000B2550" w:rsidRDefault="006578BE" w:rsidP="00BE352F">
            <w:pPr>
              <w:jc w:val="both"/>
              <w:rPr>
                <w:color w:val="000000"/>
                <w:lang w:val="lt-LT"/>
              </w:rPr>
            </w:pPr>
            <w:r>
              <w:rPr>
                <w:b/>
                <w:bCs/>
                <w:color w:val="000000"/>
                <w:lang w:val="lt-LT"/>
              </w:rPr>
              <w:t>Lietuvos Respublikos n</w:t>
            </w:r>
            <w:r w:rsidR="000B2550" w:rsidRPr="000B2550">
              <w:rPr>
                <w:b/>
                <w:bCs/>
                <w:color w:val="000000"/>
                <w:lang w:val="lt-LT"/>
              </w:rPr>
              <w:t>acionalinės kovos su korupcija 2015</w:t>
            </w:r>
            <w:r w:rsidR="006501F7">
              <w:rPr>
                <w:b/>
                <w:bCs/>
                <w:color w:val="000000"/>
                <w:lang w:val="lt-LT"/>
              </w:rPr>
              <w:t>–</w:t>
            </w:r>
            <w:r w:rsidR="000B2550" w:rsidRPr="000B2550">
              <w:rPr>
                <w:b/>
                <w:bCs/>
                <w:color w:val="000000"/>
                <w:lang w:val="lt-LT"/>
              </w:rPr>
              <w:t>2025 m. programos</w:t>
            </w:r>
            <w:r w:rsidR="000B2550" w:rsidRPr="000B2550">
              <w:rPr>
                <w:color w:val="000000"/>
                <w:lang w:val="lt-LT"/>
              </w:rPr>
              <w:t xml:space="preserve"> ir </w:t>
            </w:r>
            <w:r w:rsidR="000B2550" w:rsidRPr="000B2550">
              <w:rPr>
                <w:b/>
                <w:bCs/>
                <w:color w:val="000000"/>
                <w:lang w:val="lt-LT"/>
              </w:rPr>
              <w:t xml:space="preserve">Nacionalinės korupcijos prevencijos darbotvarkės iki 2033 m. </w:t>
            </w:r>
            <w:r w:rsidR="000B2550" w:rsidRPr="000B2550">
              <w:rPr>
                <w:color w:val="000000"/>
                <w:lang w:val="lt-LT"/>
              </w:rPr>
              <w:t xml:space="preserve">tikslas </w:t>
            </w:r>
            <w:r w:rsidR="000B2550">
              <w:rPr>
                <w:color w:val="000000"/>
                <w:lang w:val="lt-LT"/>
              </w:rPr>
              <w:t>–</w:t>
            </w:r>
            <w:r w:rsidR="000B2550" w:rsidRPr="000B2550">
              <w:rPr>
                <w:color w:val="000000"/>
                <w:lang w:val="lt-LT"/>
              </w:rPr>
              <w:t xml:space="preserve"> sukurti korupcijai atsparią aplinką viešajame ir privačiajame sektoriuose. Strateginiais dokumentais siekiama esminių pokyčių mažinant korupciją, o procesai, </w:t>
            </w:r>
            <w:r>
              <w:rPr>
                <w:color w:val="000000"/>
                <w:lang w:val="lt-LT"/>
              </w:rPr>
              <w:t>kuriais siekiama</w:t>
            </w:r>
            <w:r w:rsidR="000B2550" w:rsidRPr="000B2550">
              <w:rPr>
                <w:color w:val="000000"/>
                <w:lang w:val="lt-LT"/>
              </w:rPr>
              <w:t xml:space="preserve"> pažang</w:t>
            </w:r>
            <w:r>
              <w:rPr>
                <w:color w:val="000000"/>
                <w:lang w:val="lt-LT"/>
              </w:rPr>
              <w:t xml:space="preserve">os kovoje </w:t>
            </w:r>
            <w:r w:rsidR="000B2550" w:rsidRPr="000B2550">
              <w:rPr>
                <w:color w:val="000000"/>
                <w:lang w:val="lt-LT"/>
              </w:rPr>
              <w:t>su korupcija, padės sumažinti bendrą nusikalstamumo lygį ir užtikrinti nacionalinio saugumo interesus. Strateginio tikslo siekiama: 1) kuriant antikorupcines nuostatas ir ugdant antikorupcines kompetencijas 2) siekiant tvarių, atsparių politinių, vadybinių, administracinių ir finansinių sprendimų 3) įgyvendinant veiksmingą korupcijos kontrolę ir užtikrinant teisinės valstybės principų laikymąsi.</w:t>
            </w:r>
          </w:p>
          <w:p w14:paraId="7B55C65C" w14:textId="768B1891" w:rsidR="00A77B3E" w:rsidRPr="009201B2" w:rsidRDefault="000B2550" w:rsidP="00BE352F">
            <w:pPr>
              <w:jc w:val="both"/>
              <w:rPr>
                <w:color w:val="000000"/>
                <w:lang w:val="lt-LT"/>
              </w:rPr>
            </w:pPr>
            <w:r w:rsidRPr="000B2550">
              <w:rPr>
                <w:color w:val="000000"/>
                <w:lang w:val="lt-LT"/>
              </w:rPr>
              <w:t>Reaguojant į galimus teroristinius incidentus L</w:t>
            </w:r>
            <w:r w:rsidR="006578BE">
              <w:rPr>
                <w:color w:val="000000"/>
                <w:lang w:val="lt-LT"/>
              </w:rPr>
              <w:t>ietuvoje</w:t>
            </w:r>
            <w:r w:rsidRPr="000B2550">
              <w:rPr>
                <w:color w:val="000000"/>
                <w:lang w:val="lt-LT"/>
              </w:rPr>
              <w:t>, taip pat ypatingos svarbos infrastruktūros ir strateginiuose objektuose (tarptautiniuose oro uostuose, jūrų uoste, atominėje elektrinėje ir t. t.), reikalinga nuolatinė ir aukšta policijos antiteroristinio padalinio parengtis ir techninė pa</w:t>
            </w:r>
            <w:r w:rsidR="00D137D2">
              <w:rPr>
                <w:color w:val="000000"/>
                <w:lang w:val="lt-LT"/>
              </w:rPr>
              <w:t>galb</w:t>
            </w:r>
            <w:r w:rsidRPr="000B2550">
              <w:rPr>
                <w:color w:val="000000"/>
                <w:lang w:val="lt-LT"/>
              </w:rPr>
              <w:t xml:space="preserve">a. </w:t>
            </w:r>
            <w:r w:rsidR="003F0269">
              <w:rPr>
                <w:color w:val="000000"/>
                <w:lang w:val="lt-LT"/>
              </w:rPr>
              <w:t>V</w:t>
            </w:r>
            <w:r w:rsidRPr="000B2550">
              <w:rPr>
                <w:color w:val="000000"/>
                <w:lang w:val="lt-LT"/>
              </w:rPr>
              <w:t xml:space="preserve">SF programos priemonės sustiprins LT policijos antiteroristinių operacijų rinktinės </w:t>
            </w:r>
            <w:r w:rsidR="003F0269">
              <w:rPr>
                <w:color w:val="000000"/>
                <w:lang w:val="lt-LT"/>
              </w:rPr>
              <w:t>„</w:t>
            </w:r>
            <w:r w:rsidRPr="000B2550">
              <w:rPr>
                <w:color w:val="000000"/>
                <w:lang w:val="lt-LT"/>
              </w:rPr>
              <w:t>Aras</w:t>
            </w:r>
            <w:r w:rsidR="003F0269">
              <w:rPr>
                <w:color w:val="000000"/>
                <w:lang w:val="lt-LT"/>
              </w:rPr>
              <w:t>“</w:t>
            </w:r>
            <w:r w:rsidRPr="000B2550">
              <w:rPr>
                <w:color w:val="000000"/>
                <w:lang w:val="lt-LT"/>
              </w:rPr>
              <w:t xml:space="preserve"> (toliau </w:t>
            </w:r>
            <w:r w:rsidR="003F0269">
              <w:rPr>
                <w:color w:val="000000"/>
                <w:lang w:val="lt-LT"/>
              </w:rPr>
              <w:t>–</w:t>
            </w:r>
            <w:r w:rsidRPr="000B2550">
              <w:rPr>
                <w:color w:val="000000"/>
                <w:lang w:val="lt-LT"/>
              </w:rPr>
              <w:t xml:space="preserve"> </w:t>
            </w:r>
            <w:r w:rsidR="003F0269">
              <w:rPr>
                <w:color w:val="000000"/>
                <w:lang w:val="lt-LT"/>
              </w:rPr>
              <w:t>„</w:t>
            </w:r>
            <w:r w:rsidRPr="000B2550">
              <w:rPr>
                <w:color w:val="000000"/>
                <w:lang w:val="lt-LT"/>
              </w:rPr>
              <w:t>Aras</w:t>
            </w:r>
            <w:r w:rsidR="003F0269">
              <w:rPr>
                <w:color w:val="000000"/>
                <w:lang w:val="lt-LT"/>
              </w:rPr>
              <w:t>“</w:t>
            </w:r>
            <w:r w:rsidRPr="000B2550">
              <w:rPr>
                <w:color w:val="000000"/>
                <w:lang w:val="lt-LT"/>
              </w:rPr>
              <w:t>) pareigūnų pasirengimą reaguoti į galimus teroristinius incidentus ir jų gebėjimus vykdyti specialiąsias antiteroristines operacijas.</w:t>
            </w:r>
            <w:r w:rsidR="00003C2A" w:rsidRPr="009201B2">
              <w:rPr>
                <w:color w:val="000000"/>
                <w:lang w:val="lt-LT"/>
              </w:rPr>
              <w:t xml:space="preserve"> </w:t>
            </w:r>
          </w:p>
          <w:p w14:paraId="508A0EE4" w14:textId="513A6265" w:rsidR="00A77B3E" w:rsidRPr="009201B2" w:rsidRDefault="00003C2A" w:rsidP="00BE352F">
            <w:pPr>
              <w:jc w:val="both"/>
              <w:rPr>
                <w:color w:val="000000"/>
                <w:lang w:val="lt-LT"/>
              </w:rPr>
            </w:pPr>
            <w:r w:rsidRPr="009201B2">
              <w:rPr>
                <w:b/>
                <w:bCs/>
                <w:i/>
                <w:iCs/>
                <w:color w:val="000000"/>
                <w:lang w:val="lt-LT"/>
              </w:rPr>
              <w:t>2021</w:t>
            </w:r>
            <w:r w:rsidR="00D137D2">
              <w:rPr>
                <w:b/>
                <w:bCs/>
                <w:i/>
                <w:iCs/>
                <w:color w:val="000000"/>
                <w:lang w:val="lt-LT"/>
              </w:rPr>
              <w:t>–</w:t>
            </w:r>
            <w:r w:rsidRPr="009201B2">
              <w:rPr>
                <w:b/>
                <w:bCs/>
                <w:i/>
                <w:iCs/>
                <w:color w:val="000000"/>
                <w:lang w:val="lt-LT"/>
              </w:rPr>
              <w:t>2027</w:t>
            </w:r>
            <w:r w:rsidR="003F0269">
              <w:rPr>
                <w:b/>
                <w:bCs/>
                <w:i/>
                <w:iCs/>
                <w:color w:val="000000"/>
                <w:lang w:val="lt-LT"/>
              </w:rPr>
              <w:t xml:space="preserve"> m. rezultatai</w:t>
            </w:r>
            <w:r w:rsidRPr="009201B2">
              <w:rPr>
                <w:b/>
                <w:bCs/>
                <w:i/>
                <w:iCs/>
                <w:color w:val="000000"/>
                <w:lang w:val="lt-LT"/>
              </w:rPr>
              <w:t>:</w:t>
            </w:r>
          </w:p>
          <w:p w14:paraId="5B6A1426" w14:textId="2174C8FC" w:rsidR="00A77B3E" w:rsidRPr="009201B2" w:rsidRDefault="00313592" w:rsidP="00BE352F">
            <w:pPr>
              <w:jc w:val="both"/>
              <w:rPr>
                <w:color w:val="000000"/>
                <w:lang w:val="lt-LT"/>
              </w:rPr>
            </w:pPr>
            <w:r>
              <w:rPr>
                <w:b/>
                <w:bCs/>
                <w:i/>
                <w:iCs/>
                <w:color w:val="000000"/>
                <w:lang w:val="lt-LT"/>
              </w:rPr>
              <w:t xml:space="preserve"> 1 konkretus tikslas (KT)</w:t>
            </w:r>
            <w:r w:rsidR="00003C2A" w:rsidRPr="009201B2">
              <w:rPr>
                <w:b/>
                <w:bCs/>
                <w:i/>
                <w:iCs/>
                <w:color w:val="000000"/>
                <w:lang w:val="lt-LT"/>
              </w:rPr>
              <w:t>:</w:t>
            </w:r>
          </w:p>
          <w:p w14:paraId="0F93CF0C" w14:textId="10EC8C76" w:rsidR="00A77B3E" w:rsidRPr="009201B2" w:rsidRDefault="00003C2A" w:rsidP="00BE352F">
            <w:pPr>
              <w:jc w:val="both"/>
              <w:rPr>
                <w:color w:val="000000"/>
                <w:lang w:val="lt-LT"/>
              </w:rPr>
            </w:pPr>
            <w:r w:rsidRPr="009201B2">
              <w:rPr>
                <w:color w:val="000000"/>
                <w:lang w:val="lt-LT"/>
              </w:rPr>
              <w:t xml:space="preserve">- </w:t>
            </w:r>
            <w:r w:rsidR="00313592">
              <w:rPr>
                <w:color w:val="000000"/>
                <w:lang w:val="lt-LT"/>
              </w:rPr>
              <w:t>v</w:t>
            </w:r>
            <w:r w:rsidR="00313592" w:rsidRPr="00313592">
              <w:rPr>
                <w:color w:val="000000"/>
                <w:lang w:val="lt-LT"/>
              </w:rPr>
              <w:t xml:space="preserve">eiksmingesni ES ir nacionalinių teisėsaugos ir kitų kompetentingų institucijų </w:t>
            </w:r>
            <w:r w:rsidR="00313592">
              <w:rPr>
                <w:color w:val="000000"/>
                <w:lang w:val="lt-LT"/>
              </w:rPr>
              <w:t>informacijos mainai</w:t>
            </w:r>
            <w:r w:rsidRPr="009201B2">
              <w:rPr>
                <w:color w:val="000000"/>
                <w:lang w:val="lt-LT"/>
              </w:rPr>
              <w:t>;</w:t>
            </w:r>
          </w:p>
          <w:p w14:paraId="347ABFA6" w14:textId="2FE5EB4A" w:rsidR="00A77B3E" w:rsidRPr="009201B2" w:rsidRDefault="00003C2A" w:rsidP="00BE352F">
            <w:pPr>
              <w:jc w:val="both"/>
              <w:rPr>
                <w:color w:val="000000"/>
                <w:lang w:val="lt-LT"/>
              </w:rPr>
            </w:pPr>
            <w:r w:rsidRPr="009201B2">
              <w:rPr>
                <w:color w:val="000000"/>
                <w:lang w:val="lt-LT"/>
              </w:rPr>
              <w:t xml:space="preserve">- </w:t>
            </w:r>
            <w:r w:rsidR="00313592" w:rsidRPr="00313592">
              <w:rPr>
                <w:color w:val="000000"/>
                <w:lang w:val="lt-LT"/>
              </w:rPr>
              <w:t>geresni</w:t>
            </w:r>
            <w:r w:rsidR="00313592">
              <w:rPr>
                <w:color w:val="000000"/>
                <w:lang w:val="lt-LT"/>
              </w:rPr>
              <w:t>s</w:t>
            </w:r>
            <w:r w:rsidR="00313592" w:rsidRPr="00313592">
              <w:rPr>
                <w:color w:val="000000"/>
                <w:lang w:val="lt-LT"/>
              </w:rPr>
              <w:t xml:space="preserve"> gebėjima</w:t>
            </w:r>
            <w:r w:rsidR="00313592">
              <w:rPr>
                <w:color w:val="000000"/>
                <w:lang w:val="lt-LT"/>
              </w:rPr>
              <w:t>s</w:t>
            </w:r>
            <w:r w:rsidR="00313592" w:rsidRPr="00313592">
              <w:rPr>
                <w:color w:val="000000"/>
                <w:lang w:val="lt-LT"/>
              </w:rPr>
              <w:t xml:space="preserve"> užkirsti kelią tarpvalstybiniam, sunkiam ir organizuotam nusikalstamumui, </w:t>
            </w:r>
            <w:r w:rsidR="00313592">
              <w:rPr>
                <w:color w:val="000000"/>
                <w:lang w:val="lt-LT"/>
              </w:rPr>
              <w:t>kibernetiniams</w:t>
            </w:r>
            <w:r w:rsidR="00313592" w:rsidRPr="00313592">
              <w:rPr>
                <w:color w:val="000000"/>
                <w:lang w:val="lt-LT"/>
              </w:rPr>
              <w:t xml:space="preserve"> nusikaltimams ir su jais</w:t>
            </w:r>
            <w:r w:rsidR="00313592">
              <w:rPr>
                <w:color w:val="000000"/>
                <w:lang w:val="lt-LT"/>
              </w:rPr>
              <w:t xml:space="preserve"> </w:t>
            </w:r>
            <w:r w:rsidR="00313592" w:rsidRPr="00313592">
              <w:rPr>
                <w:color w:val="000000"/>
                <w:lang w:val="lt-LT"/>
              </w:rPr>
              <w:t>kovoti</w:t>
            </w:r>
            <w:r w:rsidRPr="009201B2">
              <w:rPr>
                <w:color w:val="000000"/>
                <w:lang w:val="lt-LT"/>
              </w:rPr>
              <w:t>;</w:t>
            </w:r>
          </w:p>
          <w:p w14:paraId="6417174C" w14:textId="155D853F" w:rsidR="00A77B3E" w:rsidRPr="009201B2" w:rsidRDefault="00003C2A" w:rsidP="00BE352F">
            <w:pPr>
              <w:jc w:val="both"/>
              <w:rPr>
                <w:color w:val="000000"/>
                <w:lang w:val="lt-LT"/>
              </w:rPr>
            </w:pPr>
            <w:r w:rsidRPr="009201B2">
              <w:rPr>
                <w:color w:val="000000"/>
                <w:lang w:val="lt-LT"/>
              </w:rPr>
              <w:t xml:space="preserve">- </w:t>
            </w:r>
            <w:r w:rsidR="00313592" w:rsidRPr="00313592">
              <w:rPr>
                <w:color w:val="000000"/>
                <w:lang w:val="lt-LT"/>
              </w:rPr>
              <w:t xml:space="preserve">veiksmingesnis su organizuotu nusikalstamumu susijusių finansinių sandorių nustatymas ir tyrimas </w:t>
            </w:r>
            <w:r w:rsidRPr="009201B2">
              <w:rPr>
                <w:color w:val="000000"/>
                <w:lang w:val="lt-LT"/>
              </w:rPr>
              <w:t>(</w:t>
            </w:r>
            <w:r w:rsidR="00313592">
              <w:rPr>
                <w:color w:val="000000"/>
                <w:lang w:val="lt-LT"/>
              </w:rPr>
              <w:t xml:space="preserve">pagal </w:t>
            </w:r>
            <w:r w:rsidR="00313592" w:rsidRPr="00313592">
              <w:rPr>
                <w:lang w:val="lt-LT"/>
              </w:rPr>
              <w:t>Europos Sąjungos sunkių formų ir organizuoto nusikalstamumo grėsmių vertinim</w:t>
            </w:r>
            <w:r w:rsidR="00313592">
              <w:rPr>
                <w:lang w:val="lt-LT"/>
              </w:rPr>
              <w:t>ą</w:t>
            </w:r>
            <w:r w:rsidR="00313592" w:rsidRPr="00313592">
              <w:rPr>
                <w:lang w:val="lt-LT"/>
              </w:rPr>
              <w:t xml:space="preserve"> (ES SOCTA</w:t>
            </w:r>
            <w:r w:rsidRPr="009201B2">
              <w:rPr>
                <w:color w:val="000000"/>
                <w:lang w:val="lt-LT"/>
              </w:rPr>
              <w:t>)</w:t>
            </w:r>
            <w:r w:rsidR="00313592">
              <w:rPr>
                <w:color w:val="000000"/>
                <w:lang w:val="lt-LT"/>
              </w:rPr>
              <w:t>)</w:t>
            </w:r>
            <w:r w:rsidRPr="009201B2">
              <w:rPr>
                <w:color w:val="000000"/>
                <w:lang w:val="lt-LT"/>
              </w:rPr>
              <w:t>;</w:t>
            </w:r>
          </w:p>
          <w:p w14:paraId="64E5B033" w14:textId="61263D1A" w:rsidR="00A77B3E" w:rsidRPr="009201B2" w:rsidRDefault="00003C2A" w:rsidP="00BE352F">
            <w:pPr>
              <w:jc w:val="both"/>
              <w:rPr>
                <w:color w:val="000000"/>
                <w:lang w:val="lt-LT"/>
              </w:rPr>
            </w:pPr>
            <w:r w:rsidRPr="009201B2">
              <w:rPr>
                <w:color w:val="000000"/>
                <w:lang w:val="lt-LT"/>
              </w:rPr>
              <w:t xml:space="preserve">- </w:t>
            </w:r>
            <w:r w:rsidR="00313592" w:rsidRPr="00313592">
              <w:rPr>
                <w:color w:val="000000"/>
                <w:lang w:val="lt-LT"/>
              </w:rPr>
              <w:t>tikslesnis korupcijos grėsmių nustatymas; visuomenės informuotumo apie korupciją didinimas</w:t>
            </w:r>
            <w:r w:rsidRPr="009201B2">
              <w:rPr>
                <w:color w:val="000000"/>
                <w:lang w:val="lt-LT"/>
              </w:rPr>
              <w:t>;</w:t>
            </w:r>
          </w:p>
          <w:p w14:paraId="5AA57C74" w14:textId="250AFCB1" w:rsidR="00A77B3E" w:rsidRPr="009201B2" w:rsidRDefault="00003C2A" w:rsidP="00BE352F">
            <w:pPr>
              <w:jc w:val="both"/>
              <w:rPr>
                <w:color w:val="000000"/>
                <w:lang w:val="lt-LT"/>
              </w:rPr>
            </w:pPr>
            <w:r w:rsidRPr="009201B2">
              <w:rPr>
                <w:color w:val="000000"/>
                <w:lang w:val="lt-LT"/>
              </w:rPr>
              <w:t xml:space="preserve">- </w:t>
            </w:r>
            <w:r w:rsidR="00313592" w:rsidRPr="00313592">
              <w:rPr>
                <w:color w:val="000000"/>
                <w:lang w:val="lt-LT"/>
              </w:rPr>
              <w:t>geresnis kriminalinės žvalgybos informacijos ir keitimosi ja saugumas ir apsauga</w:t>
            </w:r>
            <w:r w:rsidRPr="009201B2">
              <w:rPr>
                <w:color w:val="000000"/>
                <w:lang w:val="lt-LT"/>
              </w:rPr>
              <w:t>;</w:t>
            </w:r>
          </w:p>
          <w:p w14:paraId="19A44582" w14:textId="4F6C6259" w:rsidR="00A77B3E" w:rsidRPr="009201B2" w:rsidRDefault="00003C2A" w:rsidP="00BE352F">
            <w:pPr>
              <w:jc w:val="both"/>
              <w:rPr>
                <w:color w:val="000000"/>
                <w:lang w:val="lt-LT"/>
              </w:rPr>
            </w:pPr>
            <w:r w:rsidRPr="009201B2">
              <w:rPr>
                <w:color w:val="000000"/>
                <w:lang w:val="lt-LT"/>
              </w:rPr>
              <w:t xml:space="preserve">- </w:t>
            </w:r>
            <w:r w:rsidR="0018335D" w:rsidRPr="0018335D">
              <w:rPr>
                <w:color w:val="000000"/>
                <w:lang w:val="lt-LT"/>
              </w:rPr>
              <w:t xml:space="preserve">saugesnis ir greitesnis keitimasis duomenimis apie elektroninių ryšių įvykius ir jų dalyvius tarp LT ir ES nacionalinių teisėsaugos institucijų. </w:t>
            </w:r>
          </w:p>
          <w:p w14:paraId="4E0B5E1F" w14:textId="67252E70" w:rsidR="00A77B3E" w:rsidRPr="009201B2" w:rsidRDefault="00313592" w:rsidP="00BE352F">
            <w:pPr>
              <w:jc w:val="both"/>
              <w:rPr>
                <w:color w:val="000000"/>
                <w:lang w:val="lt-LT"/>
              </w:rPr>
            </w:pPr>
            <w:r>
              <w:rPr>
                <w:b/>
                <w:bCs/>
                <w:i/>
                <w:iCs/>
                <w:color w:val="000000"/>
                <w:lang w:val="lt-LT"/>
              </w:rPr>
              <w:t>2 KT</w:t>
            </w:r>
            <w:r w:rsidR="00003C2A" w:rsidRPr="009201B2">
              <w:rPr>
                <w:b/>
                <w:bCs/>
                <w:i/>
                <w:iCs/>
                <w:color w:val="000000"/>
                <w:lang w:val="lt-LT"/>
              </w:rPr>
              <w:t>:</w:t>
            </w:r>
          </w:p>
          <w:p w14:paraId="2526B98F" w14:textId="17753C9C" w:rsidR="00A77B3E" w:rsidRPr="009201B2" w:rsidRDefault="00003C2A" w:rsidP="00BE352F">
            <w:pPr>
              <w:jc w:val="both"/>
              <w:rPr>
                <w:color w:val="000000"/>
                <w:lang w:val="lt-LT"/>
              </w:rPr>
            </w:pPr>
            <w:r w:rsidRPr="009201B2">
              <w:rPr>
                <w:color w:val="000000"/>
                <w:lang w:val="lt-LT"/>
              </w:rPr>
              <w:t xml:space="preserve">- </w:t>
            </w:r>
            <w:r w:rsidR="0018335D" w:rsidRPr="0018335D">
              <w:rPr>
                <w:color w:val="000000"/>
                <w:lang w:val="lt-LT"/>
              </w:rPr>
              <w:t xml:space="preserve">parama EMPACT arba </w:t>
            </w:r>
            <w:r w:rsidR="0018335D">
              <w:rPr>
                <w:color w:val="000000"/>
                <w:lang w:val="lt-LT"/>
              </w:rPr>
              <w:t>jungtinių tyrimo grupių (JTG) veiklos projektams</w:t>
            </w:r>
            <w:r w:rsidRPr="009201B2">
              <w:rPr>
                <w:color w:val="000000"/>
                <w:lang w:val="lt-LT"/>
              </w:rPr>
              <w:t>;</w:t>
            </w:r>
          </w:p>
          <w:p w14:paraId="59A964CF" w14:textId="0450D990" w:rsidR="00A77B3E" w:rsidRPr="009201B2" w:rsidRDefault="00003C2A" w:rsidP="00BE352F">
            <w:pPr>
              <w:jc w:val="both"/>
              <w:rPr>
                <w:color w:val="000000"/>
                <w:lang w:val="lt-LT"/>
              </w:rPr>
            </w:pPr>
            <w:r w:rsidRPr="009201B2">
              <w:rPr>
                <w:color w:val="000000"/>
                <w:lang w:val="lt-LT"/>
              </w:rPr>
              <w:t xml:space="preserve">- </w:t>
            </w:r>
            <w:r w:rsidR="0018335D" w:rsidRPr="0018335D">
              <w:rPr>
                <w:color w:val="000000"/>
                <w:lang w:val="lt-LT"/>
              </w:rPr>
              <w:t>geresni gebėjimai kontroliuoti tarptautinę prekybą narkotikais ir stiprinti kovą su sunkiu ir organizuotu tarpvalstybiniu nusikalstamumu</w:t>
            </w:r>
            <w:r w:rsidRPr="009201B2">
              <w:rPr>
                <w:color w:val="000000"/>
                <w:lang w:val="lt-LT"/>
              </w:rPr>
              <w:t>;</w:t>
            </w:r>
          </w:p>
          <w:p w14:paraId="528D4C70" w14:textId="524A3467" w:rsidR="00A77B3E" w:rsidRPr="009201B2" w:rsidRDefault="00003C2A" w:rsidP="00BE352F">
            <w:pPr>
              <w:jc w:val="both"/>
              <w:rPr>
                <w:color w:val="000000"/>
                <w:lang w:val="lt-LT"/>
              </w:rPr>
            </w:pPr>
            <w:r w:rsidRPr="009201B2">
              <w:rPr>
                <w:color w:val="000000"/>
                <w:lang w:val="lt-LT"/>
              </w:rPr>
              <w:t xml:space="preserve">- </w:t>
            </w:r>
            <w:r w:rsidR="00007FB7" w:rsidRPr="00007FB7">
              <w:rPr>
                <w:color w:val="000000"/>
                <w:lang w:val="lt-LT"/>
              </w:rPr>
              <w:t xml:space="preserve">veiksmingesnis su organizuotu nusikalstamumu susijusių finansinių sandorių nustatymas ir tyrimas </w:t>
            </w:r>
            <w:r w:rsidR="00007FB7">
              <w:rPr>
                <w:color w:val="000000"/>
                <w:lang w:val="lt-LT"/>
              </w:rPr>
              <w:t xml:space="preserve">(pagal </w:t>
            </w:r>
            <w:r w:rsidR="00007FB7" w:rsidRPr="00313592">
              <w:rPr>
                <w:lang w:val="lt-LT"/>
              </w:rPr>
              <w:t>Europos Sąjungos sunkių formų ir organizuoto nusikalstamumo grėsmių vertinim</w:t>
            </w:r>
            <w:r w:rsidR="00007FB7">
              <w:rPr>
                <w:lang w:val="lt-LT"/>
              </w:rPr>
              <w:t>ą</w:t>
            </w:r>
            <w:r w:rsidR="00007FB7" w:rsidRPr="00313592">
              <w:rPr>
                <w:lang w:val="lt-LT"/>
              </w:rPr>
              <w:t xml:space="preserve"> (ES SOCTA</w:t>
            </w:r>
            <w:r w:rsidRPr="009201B2">
              <w:rPr>
                <w:color w:val="000000"/>
                <w:lang w:val="lt-LT"/>
              </w:rPr>
              <w:t>)</w:t>
            </w:r>
            <w:r w:rsidR="00007FB7">
              <w:rPr>
                <w:color w:val="000000"/>
                <w:lang w:val="lt-LT"/>
              </w:rPr>
              <w:t>)</w:t>
            </w:r>
            <w:r w:rsidRPr="009201B2">
              <w:rPr>
                <w:color w:val="000000"/>
                <w:lang w:val="lt-LT"/>
              </w:rPr>
              <w:t>;</w:t>
            </w:r>
          </w:p>
          <w:p w14:paraId="11BA4C77" w14:textId="2C5337A4" w:rsidR="00A77B3E" w:rsidRPr="009201B2" w:rsidRDefault="00003C2A" w:rsidP="00BE352F">
            <w:pPr>
              <w:jc w:val="both"/>
              <w:rPr>
                <w:color w:val="000000"/>
                <w:lang w:val="lt-LT"/>
              </w:rPr>
            </w:pPr>
            <w:r w:rsidRPr="009201B2">
              <w:rPr>
                <w:color w:val="000000"/>
                <w:lang w:val="lt-LT"/>
              </w:rPr>
              <w:t xml:space="preserve">- </w:t>
            </w:r>
            <w:r w:rsidR="00007FB7" w:rsidRPr="00007FB7">
              <w:rPr>
                <w:color w:val="000000"/>
                <w:lang w:val="lt-LT"/>
              </w:rPr>
              <w:t xml:space="preserve"> tarpinstitucin</w:t>
            </w:r>
            <w:r w:rsidR="007F5D2D">
              <w:rPr>
                <w:color w:val="000000"/>
                <w:lang w:val="lt-LT"/>
              </w:rPr>
              <w:t>io</w:t>
            </w:r>
            <w:r w:rsidR="00007FB7" w:rsidRPr="00007FB7">
              <w:rPr>
                <w:color w:val="000000"/>
                <w:lang w:val="lt-LT"/>
              </w:rPr>
              <w:t xml:space="preserve"> ir tarptautin</w:t>
            </w:r>
            <w:r w:rsidR="007F5D2D">
              <w:rPr>
                <w:color w:val="000000"/>
                <w:lang w:val="lt-LT"/>
              </w:rPr>
              <w:t>io</w:t>
            </w:r>
            <w:r w:rsidR="00007FB7" w:rsidRPr="00007FB7">
              <w:rPr>
                <w:color w:val="000000"/>
                <w:lang w:val="lt-LT"/>
              </w:rPr>
              <w:t xml:space="preserve"> bendradarbiavim</w:t>
            </w:r>
            <w:r w:rsidR="007F5D2D">
              <w:rPr>
                <w:color w:val="000000"/>
                <w:lang w:val="lt-LT"/>
              </w:rPr>
              <w:t>o</w:t>
            </w:r>
            <w:r w:rsidR="00007FB7" w:rsidRPr="00007FB7">
              <w:rPr>
                <w:color w:val="000000"/>
                <w:lang w:val="lt-LT"/>
              </w:rPr>
              <w:t xml:space="preserve"> kovojant su neteisėta narkotikų apyvarta (įskaitant pinigų plovimą</w:t>
            </w:r>
            <w:r w:rsidRPr="009201B2">
              <w:rPr>
                <w:color w:val="000000"/>
                <w:lang w:val="lt-LT"/>
              </w:rPr>
              <w:t>)</w:t>
            </w:r>
            <w:r w:rsidR="007F5D2D">
              <w:rPr>
                <w:color w:val="000000"/>
                <w:lang w:val="lt-LT"/>
              </w:rPr>
              <w:t xml:space="preserve"> stiprinimas</w:t>
            </w:r>
            <w:r w:rsidRPr="009201B2">
              <w:rPr>
                <w:color w:val="000000"/>
                <w:lang w:val="lt-LT"/>
              </w:rPr>
              <w:t>;</w:t>
            </w:r>
          </w:p>
          <w:p w14:paraId="33143AA9" w14:textId="04759BB3" w:rsidR="00A77B3E" w:rsidRPr="009201B2" w:rsidRDefault="00003C2A" w:rsidP="00BE352F">
            <w:pPr>
              <w:jc w:val="both"/>
              <w:rPr>
                <w:color w:val="000000"/>
                <w:lang w:val="lt-LT"/>
              </w:rPr>
            </w:pPr>
            <w:r w:rsidRPr="009201B2">
              <w:rPr>
                <w:color w:val="000000"/>
                <w:lang w:val="lt-LT"/>
              </w:rPr>
              <w:t>- </w:t>
            </w:r>
            <w:r w:rsidR="001044B2" w:rsidRPr="001044B2">
              <w:rPr>
                <w:color w:val="000000"/>
                <w:lang w:val="lt-LT"/>
              </w:rPr>
              <w:t xml:space="preserve">veiksmingesnis keleivių duomenų tvarkymas ir keitimasis jais tarp </w:t>
            </w:r>
            <w:r w:rsidR="001044B2">
              <w:rPr>
                <w:color w:val="000000"/>
                <w:lang w:val="lt-LT"/>
              </w:rPr>
              <w:t xml:space="preserve">informacijos apie keleivius skyrių (angl. </w:t>
            </w:r>
            <w:r w:rsidR="001044B2" w:rsidRPr="001044B2">
              <w:rPr>
                <w:color w:val="000000"/>
                <w:lang w:val="lt-LT"/>
              </w:rPr>
              <w:t>PIU</w:t>
            </w:r>
            <w:r w:rsidR="001044B2">
              <w:rPr>
                <w:color w:val="000000"/>
                <w:lang w:val="lt-LT"/>
              </w:rPr>
              <w:t>)</w:t>
            </w:r>
            <w:r w:rsidR="001044B2" w:rsidRPr="001044B2">
              <w:rPr>
                <w:color w:val="000000"/>
                <w:lang w:val="lt-LT"/>
              </w:rPr>
              <w:t xml:space="preserve"> bei tarp PIU ir Europolo;</w:t>
            </w:r>
          </w:p>
          <w:p w14:paraId="2A1B3F89" w14:textId="0994152E"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tarpvalstybin</w:t>
            </w:r>
            <w:r w:rsidR="001044B2">
              <w:rPr>
                <w:color w:val="000000"/>
                <w:lang w:val="lt-LT"/>
              </w:rPr>
              <w:t>ės</w:t>
            </w:r>
            <w:r w:rsidR="001044B2" w:rsidRPr="001044B2">
              <w:rPr>
                <w:color w:val="000000"/>
                <w:lang w:val="lt-LT"/>
              </w:rPr>
              <w:t xml:space="preserve"> pagalb</w:t>
            </w:r>
            <w:r w:rsidR="001044B2">
              <w:rPr>
                <w:color w:val="000000"/>
                <w:lang w:val="lt-LT"/>
              </w:rPr>
              <w:t>os</w:t>
            </w:r>
            <w:r w:rsidR="001044B2" w:rsidRPr="001044B2">
              <w:rPr>
                <w:color w:val="000000"/>
                <w:lang w:val="lt-LT"/>
              </w:rPr>
              <w:t xml:space="preserve"> didelių nelaimių ir krizių atve</w:t>
            </w:r>
            <w:r w:rsidR="001044B2">
              <w:rPr>
                <w:color w:val="000000"/>
                <w:lang w:val="lt-LT"/>
              </w:rPr>
              <w:t>ju stiprinimas</w:t>
            </w:r>
            <w:r w:rsidRPr="009201B2">
              <w:rPr>
                <w:color w:val="000000"/>
                <w:lang w:val="lt-LT"/>
              </w:rPr>
              <w:t>.</w:t>
            </w:r>
          </w:p>
          <w:p w14:paraId="726131F3" w14:textId="1654ABE5" w:rsidR="00A77B3E" w:rsidRPr="009201B2" w:rsidRDefault="00313592" w:rsidP="00BE352F">
            <w:pPr>
              <w:jc w:val="both"/>
              <w:rPr>
                <w:color w:val="000000"/>
                <w:lang w:val="lt-LT"/>
              </w:rPr>
            </w:pPr>
            <w:r>
              <w:rPr>
                <w:b/>
                <w:bCs/>
                <w:i/>
                <w:iCs/>
                <w:color w:val="000000"/>
                <w:lang w:val="lt-LT"/>
              </w:rPr>
              <w:t>3 KT</w:t>
            </w:r>
            <w:r w:rsidR="00003C2A" w:rsidRPr="009201B2">
              <w:rPr>
                <w:b/>
                <w:bCs/>
                <w:i/>
                <w:iCs/>
                <w:color w:val="000000"/>
                <w:lang w:val="lt-LT"/>
              </w:rPr>
              <w:t>:</w:t>
            </w:r>
          </w:p>
          <w:p w14:paraId="15C6268C" w14:textId="15071EDF" w:rsidR="00A77B3E" w:rsidRPr="009201B2" w:rsidRDefault="00003C2A" w:rsidP="00BE352F">
            <w:pPr>
              <w:jc w:val="both"/>
              <w:rPr>
                <w:color w:val="000000"/>
                <w:lang w:val="lt-LT"/>
              </w:rPr>
            </w:pPr>
            <w:r w:rsidRPr="009201B2">
              <w:rPr>
                <w:color w:val="000000"/>
                <w:lang w:val="lt-LT"/>
              </w:rPr>
              <w:t xml:space="preserve">- </w:t>
            </w:r>
            <w:r w:rsidR="001044B2" w:rsidRPr="00313592">
              <w:rPr>
                <w:color w:val="000000"/>
                <w:lang w:val="lt-LT"/>
              </w:rPr>
              <w:t>geresni</w:t>
            </w:r>
            <w:r w:rsidR="001044B2">
              <w:rPr>
                <w:color w:val="000000"/>
                <w:lang w:val="lt-LT"/>
              </w:rPr>
              <w:t>s</w:t>
            </w:r>
            <w:r w:rsidR="001044B2" w:rsidRPr="00313592">
              <w:rPr>
                <w:color w:val="000000"/>
                <w:lang w:val="lt-LT"/>
              </w:rPr>
              <w:t xml:space="preserve"> gebėjima</w:t>
            </w:r>
            <w:r w:rsidR="001044B2">
              <w:rPr>
                <w:color w:val="000000"/>
                <w:lang w:val="lt-LT"/>
              </w:rPr>
              <w:t>s</w:t>
            </w:r>
            <w:r w:rsidR="001044B2" w:rsidRPr="00313592">
              <w:rPr>
                <w:color w:val="000000"/>
                <w:lang w:val="lt-LT"/>
              </w:rPr>
              <w:t xml:space="preserve"> užkirsti kelią tarpvalstybiniam, sunkiam ir organizuotam nusikalstamumui, </w:t>
            </w:r>
            <w:r w:rsidR="001044B2">
              <w:rPr>
                <w:color w:val="000000"/>
                <w:lang w:val="lt-LT"/>
              </w:rPr>
              <w:t>kibernetiniams</w:t>
            </w:r>
            <w:r w:rsidR="001044B2" w:rsidRPr="00313592">
              <w:rPr>
                <w:color w:val="000000"/>
                <w:lang w:val="lt-LT"/>
              </w:rPr>
              <w:t xml:space="preserve"> nusikaltimams ir su jais</w:t>
            </w:r>
            <w:r w:rsidR="001044B2">
              <w:rPr>
                <w:color w:val="000000"/>
                <w:lang w:val="lt-LT"/>
              </w:rPr>
              <w:t xml:space="preserve"> </w:t>
            </w:r>
            <w:r w:rsidR="001044B2" w:rsidRPr="00313592">
              <w:rPr>
                <w:color w:val="000000"/>
                <w:lang w:val="lt-LT"/>
              </w:rPr>
              <w:t>kovoti</w:t>
            </w:r>
            <w:r w:rsidR="001044B2">
              <w:rPr>
                <w:color w:val="000000"/>
                <w:lang w:val="lt-LT"/>
              </w:rPr>
              <w:t>;</w:t>
            </w:r>
          </w:p>
          <w:p w14:paraId="6DC198A8" w14:textId="4DA9C3CB"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didesni kibernetinių nusikaltimų prevencijos, atskleidimo ir tyrimo pajėgumai</w:t>
            </w:r>
            <w:r w:rsidRPr="009201B2">
              <w:rPr>
                <w:color w:val="000000"/>
                <w:lang w:val="lt-LT"/>
              </w:rPr>
              <w:t>;</w:t>
            </w:r>
          </w:p>
          <w:p w14:paraId="370A5008" w14:textId="0A9A0F5E" w:rsidR="00A77B3E" w:rsidRPr="009201B2" w:rsidRDefault="00003C2A" w:rsidP="00BE352F">
            <w:pPr>
              <w:jc w:val="both"/>
              <w:rPr>
                <w:color w:val="000000"/>
                <w:lang w:val="lt-LT"/>
              </w:rPr>
            </w:pPr>
            <w:r w:rsidRPr="009201B2">
              <w:rPr>
                <w:color w:val="000000"/>
                <w:lang w:val="lt-LT"/>
              </w:rPr>
              <w:t xml:space="preserve">- </w:t>
            </w:r>
            <w:r w:rsidR="001044B2" w:rsidRPr="00007FB7">
              <w:rPr>
                <w:color w:val="000000"/>
                <w:lang w:val="lt-LT"/>
              </w:rPr>
              <w:t xml:space="preserve">veiksmingesnis su organizuotu nusikalstamumu susijusių finansinių sandorių nustatymas ir tyrimas </w:t>
            </w:r>
            <w:r w:rsidR="001044B2">
              <w:rPr>
                <w:color w:val="000000"/>
                <w:lang w:val="lt-LT"/>
              </w:rPr>
              <w:t xml:space="preserve">(pagal </w:t>
            </w:r>
            <w:r w:rsidR="001044B2" w:rsidRPr="00313592">
              <w:rPr>
                <w:lang w:val="lt-LT"/>
              </w:rPr>
              <w:t>Europos Sąjungos sunkių formų ir organizuoto nusikalstamumo grėsmių vertinim</w:t>
            </w:r>
            <w:r w:rsidR="001044B2">
              <w:rPr>
                <w:lang w:val="lt-LT"/>
              </w:rPr>
              <w:t>ą</w:t>
            </w:r>
            <w:r w:rsidR="001044B2" w:rsidRPr="00313592">
              <w:rPr>
                <w:lang w:val="lt-LT"/>
              </w:rPr>
              <w:t xml:space="preserve"> (ES SOCTA</w:t>
            </w:r>
            <w:r w:rsidR="001044B2" w:rsidRPr="009201B2">
              <w:rPr>
                <w:color w:val="000000"/>
                <w:lang w:val="lt-LT"/>
              </w:rPr>
              <w:t>)</w:t>
            </w:r>
            <w:r w:rsidR="001044B2">
              <w:rPr>
                <w:color w:val="000000"/>
                <w:lang w:val="lt-LT"/>
              </w:rPr>
              <w:t>)</w:t>
            </w:r>
            <w:r w:rsidR="001044B2" w:rsidRPr="009201B2">
              <w:rPr>
                <w:color w:val="000000"/>
                <w:lang w:val="lt-LT"/>
              </w:rPr>
              <w:t>;</w:t>
            </w:r>
          </w:p>
          <w:p w14:paraId="21AD0512" w14:textId="5AA6DD48" w:rsidR="00A77B3E" w:rsidRPr="009201B2" w:rsidRDefault="00003C2A" w:rsidP="00BE352F">
            <w:pPr>
              <w:jc w:val="both"/>
              <w:rPr>
                <w:color w:val="000000"/>
                <w:lang w:val="lt-LT"/>
              </w:rPr>
            </w:pPr>
            <w:r w:rsidRPr="009201B2">
              <w:rPr>
                <w:color w:val="000000"/>
                <w:lang w:val="lt-LT"/>
              </w:rPr>
              <w:t xml:space="preserve">- </w:t>
            </w:r>
            <w:r w:rsidR="001044B2" w:rsidRPr="00313592">
              <w:rPr>
                <w:color w:val="000000"/>
                <w:lang w:val="lt-LT"/>
              </w:rPr>
              <w:t>tikslesnis korupcijos grėsmių nustatymas; visuomenės informuotumo apie korupciją didinimas</w:t>
            </w:r>
            <w:r w:rsidRPr="009201B2">
              <w:rPr>
                <w:color w:val="000000"/>
                <w:lang w:val="lt-LT"/>
              </w:rPr>
              <w:t>;</w:t>
            </w:r>
          </w:p>
          <w:p w14:paraId="05A845EE" w14:textId="7BA52511"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specializuotas teisėsaugos pareigūnų mokymas ES politikos krypčių temomis</w:t>
            </w:r>
            <w:r w:rsidRPr="009201B2">
              <w:rPr>
                <w:color w:val="000000"/>
                <w:lang w:val="lt-LT"/>
              </w:rPr>
              <w:t>;</w:t>
            </w:r>
          </w:p>
          <w:p w14:paraId="238F6C64" w14:textId="4B67EB26" w:rsidR="00A77B3E" w:rsidRPr="009201B2" w:rsidRDefault="00003C2A" w:rsidP="00BE352F">
            <w:pPr>
              <w:jc w:val="both"/>
              <w:rPr>
                <w:color w:val="000000"/>
                <w:lang w:val="lt-LT"/>
              </w:rPr>
            </w:pPr>
            <w:r w:rsidRPr="009201B2">
              <w:rPr>
                <w:color w:val="000000"/>
                <w:lang w:val="lt-LT"/>
              </w:rPr>
              <w:lastRenderedPageBreak/>
              <w:t xml:space="preserve">- </w:t>
            </w:r>
            <w:r w:rsidR="001044B2" w:rsidRPr="001044B2">
              <w:rPr>
                <w:color w:val="000000"/>
                <w:lang w:val="lt-LT"/>
              </w:rPr>
              <w:t xml:space="preserve">didesnis pirmosios grandies specialistų </w:t>
            </w:r>
            <w:r w:rsidR="001044B2">
              <w:rPr>
                <w:color w:val="000000"/>
                <w:lang w:val="lt-LT"/>
              </w:rPr>
              <w:t xml:space="preserve">(praktikų) </w:t>
            </w:r>
            <w:r w:rsidR="001044B2" w:rsidRPr="001044B2">
              <w:rPr>
                <w:color w:val="000000"/>
                <w:lang w:val="lt-LT"/>
              </w:rPr>
              <w:t xml:space="preserve">informuotumas apie radikalizacijos reiškinį, </w:t>
            </w:r>
            <w:r w:rsidR="007F5D2D">
              <w:rPr>
                <w:color w:val="000000"/>
                <w:lang w:val="lt-LT"/>
              </w:rPr>
              <w:t>gilesnės</w:t>
            </w:r>
            <w:r w:rsidR="001044B2" w:rsidRPr="001044B2">
              <w:rPr>
                <w:color w:val="000000"/>
                <w:lang w:val="lt-LT"/>
              </w:rPr>
              <w:t xml:space="preserve"> specialistų žinios ir gebėjimai atpažinti radikalizaciją, užkirsti jai kelią ir kovoti su ja, įskaitant tokių specialistų tinklų kūrimą;</w:t>
            </w:r>
          </w:p>
          <w:p w14:paraId="503E0341" w14:textId="108D0260"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atitinkamų suinteresuotųjų subjektų grėsmių vertinimo, bendradarbiavimo ir keitimosi informacija pajėgum</w:t>
            </w:r>
            <w:r w:rsidR="007F5D2D">
              <w:rPr>
                <w:color w:val="000000"/>
                <w:lang w:val="lt-LT"/>
              </w:rPr>
              <w:t>ų stiprinimas</w:t>
            </w:r>
            <w:r w:rsidR="001044B2" w:rsidRPr="001044B2">
              <w:rPr>
                <w:color w:val="000000"/>
                <w:lang w:val="lt-LT"/>
              </w:rPr>
              <w:t>, siekiant užkirsti kelią radikalizacijai ir su ja kovoti</w:t>
            </w:r>
            <w:r w:rsidR="001044B2">
              <w:rPr>
                <w:color w:val="000000"/>
                <w:lang w:val="lt-LT"/>
              </w:rPr>
              <w:t>;</w:t>
            </w:r>
          </w:p>
          <w:p w14:paraId="760FC707" w14:textId="14C63341"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kova su internetine ekstremistine ir teroristine propaganda</w:t>
            </w:r>
            <w:r w:rsidRPr="009201B2">
              <w:rPr>
                <w:color w:val="000000"/>
                <w:lang w:val="lt-LT"/>
              </w:rPr>
              <w:t>;</w:t>
            </w:r>
          </w:p>
          <w:p w14:paraId="56533F64" w14:textId="5B588087" w:rsidR="00A77B3E" w:rsidRPr="009201B2" w:rsidRDefault="00003C2A" w:rsidP="00BE352F">
            <w:pPr>
              <w:jc w:val="both"/>
              <w:rPr>
                <w:color w:val="000000"/>
                <w:lang w:val="lt-LT"/>
              </w:rPr>
            </w:pPr>
            <w:r w:rsidRPr="009201B2">
              <w:rPr>
                <w:color w:val="000000"/>
                <w:lang w:val="lt-LT"/>
              </w:rPr>
              <w:t xml:space="preserve">- </w:t>
            </w:r>
            <w:r w:rsidR="001044B2" w:rsidRPr="001044B2">
              <w:rPr>
                <w:color w:val="000000"/>
                <w:lang w:val="lt-LT"/>
              </w:rPr>
              <w:t>užtikrintas visuomenės saugumas nuo terorizmo grėsmių stiprinant teisėsaugos padalinių pajėgumus</w:t>
            </w:r>
            <w:r w:rsidR="00C76B03">
              <w:rPr>
                <w:color w:val="000000"/>
                <w:lang w:val="lt-LT"/>
              </w:rPr>
              <w:t xml:space="preserve"> ir</w:t>
            </w:r>
            <w:r w:rsidR="001044B2" w:rsidRPr="001044B2">
              <w:rPr>
                <w:color w:val="000000"/>
                <w:lang w:val="lt-LT"/>
              </w:rPr>
              <w:t xml:space="preserve"> tobulin</w:t>
            </w:r>
            <w:r w:rsidR="00C76B03">
              <w:rPr>
                <w:color w:val="000000"/>
                <w:lang w:val="lt-LT"/>
              </w:rPr>
              <w:t>ant</w:t>
            </w:r>
            <w:r w:rsidR="001044B2" w:rsidRPr="001044B2">
              <w:rPr>
                <w:color w:val="000000"/>
                <w:lang w:val="lt-LT"/>
              </w:rPr>
              <w:t xml:space="preserve"> operatyvines procedūras, aprūpinant moderniausia kovos su terorizmu įranga, kovojant su teroristinių išpuolių grėsmėmis ir padariniais</w:t>
            </w:r>
            <w:r w:rsidRPr="009201B2">
              <w:rPr>
                <w:color w:val="000000"/>
                <w:lang w:val="lt-LT"/>
              </w:rPr>
              <w:t>;</w:t>
            </w:r>
          </w:p>
          <w:p w14:paraId="52B3D63D" w14:textId="509AB763" w:rsidR="00A77B3E" w:rsidRPr="009201B2" w:rsidRDefault="00003C2A" w:rsidP="00BE352F">
            <w:pPr>
              <w:jc w:val="both"/>
              <w:rPr>
                <w:color w:val="000000"/>
                <w:lang w:val="lt-LT"/>
              </w:rPr>
            </w:pPr>
            <w:r w:rsidRPr="009201B2">
              <w:rPr>
                <w:color w:val="000000"/>
                <w:lang w:val="lt-LT"/>
              </w:rPr>
              <w:t xml:space="preserve">- </w:t>
            </w:r>
            <w:r w:rsidR="00C76B03" w:rsidRPr="00C76B03">
              <w:rPr>
                <w:color w:val="000000"/>
                <w:lang w:val="lt-LT"/>
              </w:rPr>
              <w:t>geresnis pirmosios grandies specialistų pasirengimas reaguoti į smurtinį ekstremizmą ir terorizmą ir užkirsti jiems kelią</w:t>
            </w:r>
            <w:r w:rsidR="00C76B03">
              <w:rPr>
                <w:color w:val="000000"/>
                <w:lang w:val="lt-LT"/>
              </w:rPr>
              <w:t>.</w:t>
            </w:r>
          </w:p>
          <w:p w14:paraId="41C66853" w14:textId="5D2C2B1C" w:rsidR="00C76B03" w:rsidRPr="00C76B03" w:rsidRDefault="00C76B03" w:rsidP="00BE352F">
            <w:pPr>
              <w:jc w:val="both"/>
              <w:rPr>
                <w:color w:val="000000"/>
                <w:lang w:val="lt-LT"/>
              </w:rPr>
            </w:pPr>
            <w:r w:rsidRPr="00C76B03">
              <w:rPr>
                <w:color w:val="000000"/>
                <w:lang w:val="lt-LT"/>
              </w:rPr>
              <w:t xml:space="preserve">Programos 3 lentelės intervencijų kodai, pažymėti </w:t>
            </w:r>
            <w:r>
              <w:rPr>
                <w:color w:val="000000"/>
                <w:lang w:val="lt-LT"/>
              </w:rPr>
              <w:t>„</w:t>
            </w:r>
            <w:r w:rsidRPr="00C76B03">
              <w:rPr>
                <w:color w:val="000000"/>
                <w:lang w:val="lt-LT"/>
              </w:rPr>
              <w:t>0 EUR</w:t>
            </w:r>
            <w:r>
              <w:rPr>
                <w:color w:val="000000"/>
                <w:lang w:val="lt-LT"/>
              </w:rPr>
              <w:t>“</w:t>
            </w:r>
            <w:r w:rsidRPr="00C76B03">
              <w:rPr>
                <w:color w:val="000000"/>
                <w:lang w:val="lt-LT"/>
              </w:rPr>
              <w:t>, atitinka intervencijas, kurių galimi būsimi poreikiai susiję su teminės priemonės įgyvendinimu pagal Bendr</w:t>
            </w:r>
            <w:r w:rsidR="00ED6AAB">
              <w:rPr>
                <w:color w:val="000000"/>
                <w:lang w:val="lt-LT"/>
              </w:rPr>
              <w:t>ųjų nuostatų</w:t>
            </w:r>
            <w:r w:rsidRPr="00C76B03">
              <w:rPr>
                <w:color w:val="000000"/>
                <w:lang w:val="lt-LT"/>
              </w:rPr>
              <w:t xml:space="preserve"> reglamento</w:t>
            </w:r>
            <w:r w:rsidR="00BE352F">
              <w:rPr>
                <w:color w:val="000000"/>
                <w:lang w:val="lt-LT"/>
              </w:rPr>
              <w:t xml:space="preserve"> (BNR)</w:t>
            </w:r>
            <w:r w:rsidRPr="00C76B03">
              <w:rPr>
                <w:color w:val="000000"/>
                <w:lang w:val="lt-LT"/>
              </w:rPr>
              <w:t xml:space="preserve"> 22 straipsnio 4 dalies d punktą.</w:t>
            </w:r>
          </w:p>
          <w:p w14:paraId="582EC61D" w14:textId="03F3CA1E" w:rsidR="00A77B3E" w:rsidRPr="009201B2" w:rsidRDefault="00C76B03" w:rsidP="00BE352F">
            <w:pPr>
              <w:jc w:val="both"/>
              <w:rPr>
                <w:color w:val="000000"/>
                <w:lang w:val="lt-LT"/>
              </w:rPr>
            </w:pPr>
            <w:r w:rsidRPr="00C76B03">
              <w:rPr>
                <w:color w:val="000000"/>
                <w:lang w:val="lt-LT"/>
              </w:rPr>
              <w:t xml:space="preserve">Laikydamasi partnerystės principo ir atsižvelgdama į </w:t>
            </w:r>
            <w:r w:rsidR="00ED6AAB">
              <w:rPr>
                <w:color w:val="000000"/>
                <w:lang w:val="lt-LT"/>
              </w:rPr>
              <w:t>V</w:t>
            </w:r>
            <w:r w:rsidRPr="00C76B03">
              <w:rPr>
                <w:color w:val="000000"/>
                <w:lang w:val="lt-LT"/>
              </w:rPr>
              <w:t xml:space="preserve">SF specifiką, LT Vidaus reikalų ministerija (VRM) 2020 m. sausio mėn. oficialiai pakvietė atitinkamas institucijas ir susijusias įstaigas teikti pasiūlymus dėl </w:t>
            </w:r>
            <w:r w:rsidR="00ED6AAB">
              <w:rPr>
                <w:color w:val="000000"/>
                <w:lang w:val="lt-LT"/>
              </w:rPr>
              <w:t>V</w:t>
            </w:r>
            <w:r w:rsidRPr="00C76B03">
              <w:rPr>
                <w:color w:val="000000"/>
                <w:lang w:val="lt-LT"/>
              </w:rPr>
              <w:t>SF programos</w:t>
            </w:r>
            <w:r w:rsidR="00003C2A" w:rsidRPr="009201B2">
              <w:rPr>
                <w:color w:val="000000"/>
                <w:lang w:val="lt-LT"/>
              </w:rPr>
              <w:t>.</w:t>
            </w:r>
          </w:p>
          <w:p w14:paraId="7E74001C" w14:textId="426B24EC" w:rsidR="00A77B3E" w:rsidRPr="009201B2" w:rsidRDefault="00ED6AAB" w:rsidP="00BE352F">
            <w:pPr>
              <w:jc w:val="both"/>
              <w:rPr>
                <w:color w:val="000000"/>
                <w:lang w:val="lt-LT"/>
              </w:rPr>
            </w:pPr>
            <w:r>
              <w:rPr>
                <w:color w:val="000000"/>
                <w:lang w:val="lt-LT"/>
              </w:rPr>
              <w:t xml:space="preserve">VSF </w:t>
            </w:r>
            <w:r w:rsidR="00A74F34" w:rsidRPr="00A74F34">
              <w:rPr>
                <w:color w:val="000000"/>
                <w:lang w:val="lt-LT"/>
              </w:rPr>
              <w:t xml:space="preserve">veikia tose srityse, kuriose </w:t>
            </w:r>
            <w:r w:rsidR="00A74F34" w:rsidRPr="00A74F34">
              <w:rPr>
                <w:i/>
                <w:iCs/>
                <w:color w:val="000000"/>
                <w:lang w:val="lt-LT"/>
              </w:rPr>
              <w:t>de jure</w:t>
            </w:r>
            <w:r w:rsidR="00A74F34" w:rsidRPr="00A74F34">
              <w:rPr>
                <w:color w:val="000000"/>
                <w:lang w:val="lt-LT"/>
              </w:rPr>
              <w:t xml:space="preserve"> egzistuoja nacionalinių administracijų monopolijos arba kuriose dėl saugumo priežasčių negalima skelbti atviro kvietimo teikti paraiškas. </w:t>
            </w:r>
            <w:r w:rsidR="00A74F34">
              <w:rPr>
                <w:color w:val="000000"/>
                <w:lang w:val="lt-LT"/>
              </w:rPr>
              <w:t>V</w:t>
            </w:r>
            <w:r w:rsidR="00A74F34" w:rsidRPr="00A74F34">
              <w:rPr>
                <w:color w:val="000000"/>
                <w:lang w:val="lt-LT"/>
              </w:rPr>
              <w:t xml:space="preserve">SF veiksmai bus įgyvendinami pagal ribotą kvietimą teikti paraiškas. Tiesioginio </w:t>
            </w:r>
            <w:r w:rsidR="00A8616B" w:rsidRPr="00BE352F">
              <w:rPr>
                <w:color w:val="000000"/>
                <w:lang w:val="lt-LT"/>
              </w:rPr>
              <w:t xml:space="preserve">dotacijos </w:t>
            </w:r>
            <w:r w:rsidR="00A74F34" w:rsidRPr="00A74F34">
              <w:rPr>
                <w:color w:val="000000"/>
                <w:lang w:val="lt-LT"/>
              </w:rPr>
              <w:t xml:space="preserve">skyrimo pagrindai bus išdėstyti sprendime dėl </w:t>
            </w:r>
            <w:r w:rsidR="00A8616B" w:rsidRPr="00BE352F">
              <w:rPr>
                <w:color w:val="000000"/>
                <w:lang w:val="lt-LT"/>
              </w:rPr>
              <w:t>dotacijos</w:t>
            </w:r>
            <w:r w:rsidR="00A8616B">
              <w:rPr>
                <w:color w:val="000000"/>
                <w:lang w:val="lt-LT"/>
              </w:rPr>
              <w:t xml:space="preserve"> </w:t>
            </w:r>
            <w:r w:rsidR="00A74F34" w:rsidRPr="00A74F34">
              <w:rPr>
                <w:color w:val="000000"/>
                <w:lang w:val="lt-LT"/>
              </w:rPr>
              <w:t>skyrimo</w:t>
            </w:r>
            <w:r w:rsidR="00003C2A" w:rsidRPr="009201B2">
              <w:rPr>
                <w:color w:val="000000"/>
                <w:lang w:val="lt-LT"/>
              </w:rPr>
              <w:t>.</w:t>
            </w:r>
          </w:p>
          <w:p w14:paraId="433532F9" w14:textId="15553126" w:rsidR="00A77B3E" w:rsidRPr="009201B2" w:rsidRDefault="00A8616B" w:rsidP="00BE352F">
            <w:pPr>
              <w:jc w:val="both"/>
              <w:rPr>
                <w:color w:val="000000"/>
                <w:lang w:val="lt-LT"/>
              </w:rPr>
            </w:pPr>
            <w:r>
              <w:rPr>
                <w:color w:val="000000"/>
                <w:lang w:val="lt-LT"/>
              </w:rPr>
              <w:t xml:space="preserve">Rengiant VSF programą </w:t>
            </w:r>
            <w:r w:rsidRPr="00A8616B">
              <w:rPr>
                <w:color w:val="000000"/>
                <w:lang w:val="lt-LT"/>
              </w:rPr>
              <w:t>ir strategiją</w:t>
            </w:r>
            <w:r w:rsidR="007F5D2D">
              <w:rPr>
                <w:color w:val="000000"/>
                <w:lang w:val="lt-LT"/>
              </w:rPr>
              <w:t>, siekiant</w:t>
            </w:r>
            <w:r w:rsidRPr="00A8616B">
              <w:rPr>
                <w:color w:val="000000"/>
                <w:lang w:val="lt-LT"/>
              </w:rPr>
              <w:t xml:space="preserve"> </w:t>
            </w:r>
            <w:r w:rsidR="007F5D2D" w:rsidRPr="00A8616B">
              <w:rPr>
                <w:color w:val="000000"/>
                <w:lang w:val="lt-LT"/>
              </w:rPr>
              <w:t>užtikrint</w:t>
            </w:r>
            <w:r w:rsidR="007F5D2D">
              <w:rPr>
                <w:color w:val="000000"/>
                <w:lang w:val="lt-LT"/>
              </w:rPr>
              <w:t>i</w:t>
            </w:r>
            <w:r w:rsidR="007F5D2D" w:rsidRPr="00A8616B">
              <w:rPr>
                <w:color w:val="000000"/>
                <w:lang w:val="lt-LT"/>
              </w:rPr>
              <w:t xml:space="preserve"> veiksmingum</w:t>
            </w:r>
            <w:r w:rsidR="007F5D2D">
              <w:rPr>
                <w:color w:val="000000"/>
                <w:lang w:val="lt-LT"/>
              </w:rPr>
              <w:t>ą</w:t>
            </w:r>
            <w:r w:rsidR="007F5D2D" w:rsidRPr="00A8616B">
              <w:rPr>
                <w:color w:val="000000"/>
                <w:lang w:val="lt-LT"/>
              </w:rPr>
              <w:t xml:space="preserve"> </w:t>
            </w:r>
            <w:r w:rsidRPr="00A8616B">
              <w:rPr>
                <w:color w:val="000000"/>
                <w:lang w:val="lt-LT"/>
              </w:rPr>
              <w:t>atsižvelgiama į administracinius gebėjimus ir valdymo taisykles, ir, kai tik įmanoma, bus įgyvendinamos supaprastinimo priemonės, kad būtų sumažinta administracinė našta ir padidintas veiksmingumas, efektyvumas ir ekonomiškumas</w:t>
            </w:r>
            <w:r w:rsidR="00003C2A" w:rsidRPr="009201B2">
              <w:rPr>
                <w:color w:val="000000"/>
                <w:lang w:val="lt-LT"/>
              </w:rPr>
              <w:t xml:space="preserve">. </w:t>
            </w:r>
            <w:r w:rsidRPr="00A8616B">
              <w:rPr>
                <w:color w:val="000000"/>
                <w:lang w:val="lt-LT"/>
              </w:rPr>
              <w:t xml:space="preserve">Dėl padidėjusių asignavimų LT numatomas administracinės naštos padidėjimas. Jai spręsti LT kuria IS, kuri ne tik atitiktų naująjį </w:t>
            </w:r>
            <w:r>
              <w:rPr>
                <w:color w:val="000000"/>
                <w:lang w:val="lt-LT"/>
              </w:rPr>
              <w:t>V</w:t>
            </w:r>
            <w:r w:rsidRPr="00A8616B">
              <w:rPr>
                <w:color w:val="000000"/>
                <w:lang w:val="lt-LT"/>
              </w:rPr>
              <w:t xml:space="preserve">SF reglamentą, bet ir palengvintų administracinę naštą tiek </w:t>
            </w:r>
            <w:r w:rsidR="003B0E4A">
              <w:rPr>
                <w:color w:val="000000"/>
                <w:lang w:val="lt-LT"/>
              </w:rPr>
              <w:t>projektų vykdytojams</w:t>
            </w:r>
            <w:r w:rsidRPr="00A8616B">
              <w:rPr>
                <w:color w:val="000000"/>
                <w:lang w:val="lt-LT"/>
              </w:rPr>
              <w:t>, tiek tarpinei institucijai. 2014</w:t>
            </w:r>
            <w:r w:rsidR="001F5FE5">
              <w:rPr>
                <w:color w:val="000000"/>
                <w:lang w:val="lt-LT"/>
              </w:rPr>
              <w:t>–</w:t>
            </w:r>
            <w:r w:rsidRPr="00A8616B">
              <w:rPr>
                <w:color w:val="000000"/>
                <w:lang w:val="lt-LT"/>
              </w:rPr>
              <w:t xml:space="preserve">2020 m. LT naudojosi CPVA </w:t>
            </w:r>
            <w:r w:rsidRPr="0065029A">
              <w:rPr>
                <w:color w:val="000000"/>
                <w:lang w:val="lt-LT"/>
              </w:rPr>
              <w:t xml:space="preserve">parengtomis </w:t>
            </w:r>
            <w:r w:rsidR="0065029A" w:rsidRPr="0065029A">
              <w:rPr>
                <w:color w:val="000000"/>
                <w:lang w:val="lt-LT"/>
              </w:rPr>
              <w:t>supaprastin</w:t>
            </w:r>
            <w:r w:rsidR="007045D5">
              <w:rPr>
                <w:color w:val="000000"/>
                <w:lang w:val="lt-LT"/>
              </w:rPr>
              <w:t>t</w:t>
            </w:r>
            <w:r w:rsidR="0065029A" w:rsidRPr="0065029A">
              <w:rPr>
                <w:color w:val="000000"/>
                <w:lang w:val="lt-LT"/>
              </w:rPr>
              <w:t>o išlaidų apmokėjimo galimybėmis (</w:t>
            </w:r>
            <w:r w:rsidR="0065029A">
              <w:rPr>
                <w:color w:val="000000"/>
                <w:lang w:val="lt-LT"/>
              </w:rPr>
              <w:t xml:space="preserve">toliau – </w:t>
            </w:r>
            <w:r w:rsidR="0065029A" w:rsidRPr="0065029A">
              <w:rPr>
                <w:color w:val="000000"/>
                <w:lang w:val="lt-LT"/>
              </w:rPr>
              <w:t>SIAG)</w:t>
            </w:r>
            <w:r w:rsidRPr="0065029A">
              <w:rPr>
                <w:color w:val="000000"/>
                <w:lang w:val="lt-LT"/>
              </w:rPr>
              <w:t>,</w:t>
            </w:r>
            <w:r>
              <w:rPr>
                <w:color w:val="000000"/>
                <w:lang w:val="lt-LT"/>
              </w:rPr>
              <w:t xml:space="preserve"> </w:t>
            </w:r>
            <w:r w:rsidRPr="00A8616B">
              <w:rPr>
                <w:color w:val="000000"/>
                <w:lang w:val="lt-LT"/>
              </w:rPr>
              <w:t>tačiau jų skaičius nebuvo didelis.</w:t>
            </w:r>
            <w:r>
              <w:rPr>
                <w:color w:val="000000"/>
                <w:lang w:val="lt-LT"/>
              </w:rPr>
              <w:t xml:space="preserve"> LT </w:t>
            </w:r>
            <w:r w:rsidRPr="00A8616B">
              <w:rPr>
                <w:color w:val="000000"/>
                <w:lang w:val="lt-LT"/>
              </w:rPr>
              <w:t xml:space="preserve">planuoja ir toliau kurti ir tobulinti </w:t>
            </w:r>
            <w:r w:rsidR="0065029A">
              <w:rPr>
                <w:color w:val="000000"/>
                <w:lang w:val="lt-LT"/>
              </w:rPr>
              <w:t>SIAG</w:t>
            </w:r>
            <w:r w:rsidRPr="00A8616B">
              <w:rPr>
                <w:color w:val="000000"/>
                <w:lang w:val="lt-LT"/>
              </w:rPr>
              <w:t xml:space="preserve">, taip pat naudoti </w:t>
            </w:r>
            <w:r w:rsidR="007045D5">
              <w:rPr>
                <w:color w:val="000000"/>
                <w:lang w:val="lt-LT"/>
              </w:rPr>
              <w:t xml:space="preserve">BNR </w:t>
            </w:r>
            <w:r w:rsidRPr="00A8616B">
              <w:rPr>
                <w:color w:val="000000"/>
                <w:lang w:val="lt-LT"/>
              </w:rPr>
              <w:t>53</w:t>
            </w:r>
            <w:r w:rsidR="007045D5">
              <w:rPr>
                <w:color w:val="000000"/>
                <w:lang w:val="lt-LT"/>
              </w:rPr>
              <w:t>–</w:t>
            </w:r>
            <w:r w:rsidRPr="00A8616B">
              <w:rPr>
                <w:color w:val="000000"/>
                <w:lang w:val="lt-LT"/>
              </w:rPr>
              <w:t>56 straipsniuose siūlomas fiksuotas procentines normas, tačiau tai bus</w:t>
            </w:r>
            <w:r w:rsidR="007F5D2D">
              <w:rPr>
                <w:color w:val="000000"/>
                <w:lang w:val="lt-LT"/>
              </w:rPr>
              <w:t xml:space="preserve"> nemažas</w:t>
            </w:r>
            <w:r w:rsidRPr="00A8616B">
              <w:rPr>
                <w:color w:val="000000"/>
                <w:lang w:val="lt-LT"/>
              </w:rPr>
              <w:t xml:space="preserve"> iššūkis, nes turime mažai </w:t>
            </w:r>
            <w:r w:rsidR="0065029A">
              <w:rPr>
                <w:color w:val="000000"/>
                <w:lang w:val="lt-LT"/>
              </w:rPr>
              <w:t>SIAG</w:t>
            </w:r>
            <w:r w:rsidRPr="00A8616B">
              <w:rPr>
                <w:color w:val="000000"/>
                <w:lang w:val="lt-LT"/>
              </w:rPr>
              <w:t xml:space="preserve"> metodikų kūrimo patirties, todėl LT reikės gilintis į kitų šalių praktiką, </w:t>
            </w:r>
            <w:r w:rsidR="007F5D2D">
              <w:rPr>
                <w:color w:val="000000"/>
                <w:lang w:val="lt-LT"/>
              </w:rPr>
              <w:t>plėsti</w:t>
            </w:r>
            <w:r w:rsidRPr="00A8616B">
              <w:rPr>
                <w:color w:val="000000"/>
                <w:lang w:val="lt-LT"/>
              </w:rPr>
              <w:t xml:space="preserve"> žinias apie </w:t>
            </w:r>
            <w:r w:rsidR="0065029A">
              <w:rPr>
                <w:color w:val="000000"/>
                <w:lang w:val="lt-LT"/>
              </w:rPr>
              <w:t>SIAG</w:t>
            </w:r>
            <w:r w:rsidRPr="00A8616B">
              <w:rPr>
                <w:color w:val="000000"/>
                <w:lang w:val="lt-LT"/>
              </w:rPr>
              <w:t>, rinkti statistinius duomenis.</w:t>
            </w:r>
            <w:r>
              <w:rPr>
                <w:color w:val="000000"/>
                <w:lang w:val="lt-LT"/>
              </w:rPr>
              <w:t xml:space="preserve"> </w:t>
            </w:r>
          </w:p>
          <w:p w14:paraId="56AC1A02" w14:textId="0F143285" w:rsidR="00B42D45" w:rsidRPr="00B42D45" w:rsidRDefault="00B42D45" w:rsidP="00BE352F">
            <w:pPr>
              <w:jc w:val="both"/>
              <w:rPr>
                <w:color w:val="000000"/>
                <w:lang w:val="lt-LT"/>
              </w:rPr>
            </w:pPr>
            <w:r>
              <w:rPr>
                <w:color w:val="000000"/>
                <w:lang w:val="lt-LT"/>
              </w:rPr>
              <w:t xml:space="preserve">PMIF, VSF, </w:t>
            </w:r>
            <w:r w:rsidRPr="00B42D45">
              <w:rPr>
                <w:color w:val="000000"/>
                <w:lang w:val="lt-LT"/>
              </w:rPr>
              <w:t xml:space="preserve">Muitinės kontrolės įrangos priemonės ir Sanglaudos fondo suderinamumo ir sinergijos koordinavimą užtikrins stebėsenos komitetai, kurie ne tik </w:t>
            </w:r>
            <w:r>
              <w:rPr>
                <w:color w:val="000000"/>
                <w:lang w:val="lt-LT"/>
              </w:rPr>
              <w:t>tarsis dėl V</w:t>
            </w:r>
            <w:r w:rsidRPr="00B42D45">
              <w:rPr>
                <w:color w:val="000000"/>
                <w:lang w:val="lt-LT"/>
              </w:rPr>
              <w:t>SF įgyvendinimo eig</w:t>
            </w:r>
            <w:r>
              <w:rPr>
                <w:color w:val="000000"/>
                <w:lang w:val="lt-LT"/>
              </w:rPr>
              <w:t>os</w:t>
            </w:r>
            <w:r w:rsidRPr="00B42D45">
              <w:rPr>
                <w:color w:val="000000"/>
                <w:lang w:val="lt-LT"/>
              </w:rPr>
              <w:t xml:space="preserve">, siūlys programos ir projektų atrankos kriterijų pakeitimus, bet ir spręs bendruosius </w:t>
            </w:r>
            <w:r>
              <w:rPr>
                <w:color w:val="000000"/>
                <w:lang w:val="lt-LT"/>
              </w:rPr>
              <w:t>V</w:t>
            </w:r>
            <w:r w:rsidRPr="00B42D45">
              <w:rPr>
                <w:color w:val="000000"/>
                <w:lang w:val="lt-LT"/>
              </w:rPr>
              <w:t>SF įgyvendinimo klausimus.</w:t>
            </w:r>
          </w:p>
          <w:p w14:paraId="236E97AB" w14:textId="004B2DF1" w:rsidR="00B42D45" w:rsidRPr="00B42D45" w:rsidRDefault="00B42D45" w:rsidP="00BE352F">
            <w:pPr>
              <w:jc w:val="both"/>
              <w:rPr>
                <w:color w:val="000000"/>
                <w:lang w:val="lt-LT"/>
              </w:rPr>
            </w:pPr>
            <w:r w:rsidRPr="00B42D45">
              <w:rPr>
                <w:color w:val="000000"/>
                <w:lang w:val="lt-LT"/>
              </w:rPr>
              <w:t>Dvigubo finansavimo prevencijos ir kontrolės užtikrinimo sistema 2021</w:t>
            </w:r>
            <w:r w:rsidR="007045D5">
              <w:rPr>
                <w:color w:val="000000"/>
                <w:lang w:val="lt-LT"/>
              </w:rPr>
              <w:t>–</w:t>
            </w:r>
            <w:r w:rsidRPr="00B42D45">
              <w:rPr>
                <w:color w:val="000000"/>
                <w:lang w:val="lt-LT"/>
              </w:rPr>
              <w:t>2027 m. kuriama remiantis ankstesnių laikotarpių patirtimi ir sukurtomis priemonėmis.</w:t>
            </w:r>
          </w:p>
          <w:p w14:paraId="435B2323" w14:textId="478050F9" w:rsidR="00A77B3E" w:rsidRPr="009201B2" w:rsidRDefault="00B42D45" w:rsidP="00BE352F">
            <w:pPr>
              <w:jc w:val="both"/>
              <w:rPr>
                <w:color w:val="000000"/>
                <w:lang w:val="lt-LT"/>
              </w:rPr>
            </w:pPr>
            <w:r w:rsidRPr="00B42D45">
              <w:rPr>
                <w:color w:val="000000"/>
                <w:lang w:val="lt-LT"/>
              </w:rPr>
              <w:t xml:space="preserve">Programoje bus išlaikytas </w:t>
            </w:r>
            <w:r w:rsidR="007F5D2D">
              <w:rPr>
                <w:color w:val="000000"/>
                <w:lang w:val="lt-LT"/>
              </w:rPr>
              <w:t xml:space="preserve">tam tikras </w:t>
            </w:r>
            <w:r w:rsidRPr="00B42D45">
              <w:rPr>
                <w:color w:val="000000"/>
                <w:lang w:val="lt-LT"/>
              </w:rPr>
              <w:t xml:space="preserve">lankstumo lygis, kad būtų galima reaguoti į įvykius ir atsirandančius būsimus poreikius, įskaitant veiksmus, susijusius su naujais Sąjungos </w:t>
            </w:r>
            <w:r w:rsidRPr="00B42D45">
              <w:rPr>
                <w:i/>
                <w:iCs/>
                <w:color w:val="000000"/>
                <w:lang w:val="lt-LT"/>
              </w:rPr>
              <w:t>acquis</w:t>
            </w:r>
            <w:r w:rsidRPr="00B42D45">
              <w:rPr>
                <w:color w:val="000000"/>
                <w:lang w:val="lt-LT"/>
              </w:rPr>
              <w:t xml:space="preserve"> pokyčiais ar veiksmų planais</w:t>
            </w:r>
            <w:r w:rsidR="00003C2A" w:rsidRPr="009201B2">
              <w:rPr>
                <w:color w:val="000000"/>
                <w:lang w:val="lt-LT"/>
              </w:rPr>
              <w:t>.</w:t>
            </w:r>
          </w:p>
          <w:p w14:paraId="1A5FD9F9" w14:textId="77777777" w:rsidR="00A77B3E" w:rsidRPr="009201B2" w:rsidRDefault="00A77B3E">
            <w:pPr>
              <w:rPr>
                <w:color w:val="000000"/>
                <w:lang w:val="lt-LT"/>
              </w:rPr>
            </w:pPr>
          </w:p>
        </w:tc>
      </w:tr>
    </w:tbl>
    <w:p w14:paraId="4877D82B" w14:textId="77777777" w:rsidR="00A77B3E" w:rsidRPr="009201B2" w:rsidRDefault="00A77B3E">
      <w:pPr>
        <w:rPr>
          <w:color w:val="000000"/>
          <w:lang w:val="lt-LT"/>
        </w:rPr>
        <w:sectPr w:rsidR="00A77B3E" w:rsidRPr="009201B2">
          <w:headerReference w:type="even" r:id="rId6"/>
          <w:headerReference w:type="default" r:id="rId7"/>
          <w:footerReference w:type="even" r:id="rId8"/>
          <w:footerReference w:type="default" r:id="rId9"/>
          <w:headerReference w:type="first" r:id="rId10"/>
          <w:footerReference w:type="first" r:id="rId11"/>
          <w:pgSz w:w="11906" w:h="16838"/>
          <w:pgMar w:top="720" w:right="936" w:bottom="864" w:left="720" w:header="0" w:footer="72" w:gutter="0"/>
          <w:cols w:space="720"/>
          <w:noEndnote/>
          <w:docGrid w:linePitch="360"/>
        </w:sectPr>
      </w:pPr>
    </w:p>
    <w:p w14:paraId="38ACC58F"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1" w:name="_Toc256000058"/>
      <w:r w:rsidRPr="009201B2">
        <w:rPr>
          <w:rFonts w:ascii="Times New Roman" w:hAnsi="Times New Roman" w:cs="Times New Roman"/>
          <w:b w:val="0"/>
          <w:color w:val="000000"/>
          <w:sz w:val="24"/>
          <w:lang w:val="lt-LT"/>
        </w:rPr>
        <w:lastRenderedPageBreak/>
        <w:t>2. Konkretūs tikslai ir techninė parama</w:t>
      </w:r>
      <w:bookmarkEnd w:id="1"/>
    </w:p>
    <w:p w14:paraId="5723D3EB" w14:textId="77777777" w:rsidR="00A77B3E" w:rsidRPr="009201B2" w:rsidRDefault="00A77B3E">
      <w:pPr>
        <w:spacing w:before="100"/>
        <w:rPr>
          <w:color w:val="000000"/>
          <w:sz w:val="0"/>
          <w:lang w:val="lt-LT"/>
        </w:rPr>
      </w:pPr>
    </w:p>
    <w:p w14:paraId="1485B777" w14:textId="77777777" w:rsidR="00A77B3E" w:rsidRPr="009201B2" w:rsidRDefault="00003C2A">
      <w:pPr>
        <w:spacing w:before="100"/>
        <w:rPr>
          <w:color w:val="000000"/>
          <w:sz w:val="12"/>
          <w:lang w:val="lt-LT"/>
        </w:rPr>
      </w:pPr>
      <w:r w:rsidRPr="009201B2">
        <w:rPr>
          <w:color w:val="000000"/>
          <w:lang w:val="lt-LT"/>
        </w:rPr>
        <w:t>Nuoroda: BNR 22 straipsnio 2 ir 4 dalys.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120"/>
        <w:gridCol w:w="2560"/>
      </w:tblGrid>
      <w:tr w:rsidR="00535D32" w:rsidRPr="009201B2" w14:paraId="1E150319"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C0295" w14:textId="77777777" w:rsidR="00A77B3E" w:rsidRPr="009201B2" w:rsidRDefault="00003C2A">
            <w:pPr>
              <w:spacing w:before="100"/>
              <w:jc w:val="center"/>
              <w:rPr>
                <w:color w:val="000000"/>
                <w:lang w:val="lt-LT"/>
              </w:rPr>
            </w:pPr>
            <w:r w:rsidRPr="009201B2">
              <w:rPr>
                <w:color w:val="000000"/>
                <w:lang w:val="lt-LT"/>
              </w:rPr>
              <w:t xml:space="preserve"> Atrinkta</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5BEA5D" w14:textId="77777777" w:rsidR="00A77B3E" w:rsidRPr="009201B2" w:rsidRDefault="00003C2A">
            <w:pPr>
              <w:spacing w:before="100"/>
              <w:jc w:val="center"/>
              <w:rPr>
                <w:color w:val="000000"/>
                <w:lang w:val="lt-LT"/>
              </w:rPr>
            </w:pPr>
            <w:r w:rsidRPr="009201B2">
              <w:rPr>
                <w:color w:val="000000"/>
                <w:lang w:val="lt-LT"/>
              </w:rPr>
              <w:t>Konkretus tikslas arba techninė pagalba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3AE2A0" w14:textId="77777777" w:rsidR="00A77B3E" w:rsidRPr="009201B2" w:rsidRDefault="00003C2A">
            <w:pPr>
              <w:spacing w:before="100"/>
              <w:jc w:val="center"/>
              <w:rPr>
                <w:color w:val="000000"/>
                <w:lang w:val="lt-LT"/>
              </w:rPr>
            </w:pPr>
            <w:r w:rsidRPr="009201B2">
              <w:rPr>
                <w:color w:val="000000"/>
                <w:lang w:val="lt-LT"/>
              </w:rPr>
              <w:t>Veiksmų rūšis</w:t>
            </w:r>
          </w:p>
        </w:tc>
      </w:tr>
      <w:tr w:rsidR="00535D32" w:rsidRPr="009201B2" w14:paraId="4E02849C"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248A02"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F43D8" w14:textId="77777777" w:rsidR="00A77B3E" w:rsidRPr="009201B2" w:rsidRDefault="00003C2A">
            <w:pPr>
              <w:spacing w:before="100"/>
              <w:rPr>
                <w:color w:val="000000"/>
                <w:lang w:val="lt-LT"/>
              </w:rPr>
            </w:pPr>
            <w:r w:rsidRPr="009201B2">
              <w:rPr>
                <w:color w:val="000000"/>
                <w:lang w:val="lt-LT"/>
              </w:rPr>
              <w:t>1. Keitimąsis informacija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A9C80" w14:textId="77777777" w:rsidR="00A77B3E" w:rsidRPr="009201B2" w:rsidRDefault="00003C2A">
            <w:pPr>
              <w:spacing w:before="100"/>
              <w:rPr>
                <w:color w:val="000000"/>
                <w:lang w:val="lt-LT"/>
              </w:rPr>
            </w:pPr>
            <w:r w:rsidRPr="009201B2">
              <w:rPr>
                <w:color w:val="000000"/>
                <w:lang w:val="lt-LT"/>
              </w:rPr>
              <w:t>Įprasti veiksmai</w:t>
            </w:r>
          </w:p>
        </w:tc>
      </w:tr>
      <w:tr w:rsidR="00535D32" w:rsidRPr="009201B2" w14:paraId="4740A4C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631A8"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BE3D4" w14:textId="77777777" w:rsidR="00A77B3E" w:rsidRPr="009201B2" w:rsidRDefault="00003C2A">
            <w:pPr>
              <w:spacing w:before="100"/>
              <w:rPr>
                <w:color w:val="000000"/>
                <w:lang w:val="lt-LT"/>
              </w:rPr>
            </w:pPr>
            <w:r w:rsidRPr="009201B2">
              <w:rPr>
                <w:color w:val="000000"/>
                <w:lang w:val="lt-LT"/>
              </w:rPr>
              <w:t>1. Keitimąsis informacija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02822" w14:textId="77777777" w:rsidR="00A77B3E" w:rsidRPr="009201B2" w:rsidRDefault="00003C2A">
            <w:pPr>
              <w:spacing w:before="100"/>
              <w:rPr>
                <w:color w:val="000000"/>
                <w:lang w:val="lt-LT"/>
              </w:rPr>
            </w:pPr>
            <w:r w:rsidRPr="009201B2">
              <w:rPr>
                <w:color w:val="000000"/>
                <w:lang w:val="lt-LT"/>
              </w:rPr>
              <w:t>Konkretūs veiksmai</w:t>
            </w:r>
          </w:p>
        </w:tc>
      </w:tr>
      <w:tr w:rsidR="00535D32" w:rsidRPr="009201B2" w14:paraId="6BEBF17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D3218"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77C1E" w14:textId="77777777" w:rsidR="00A77B3E" w:rsidRPr="009201B2" w:rsidRDefault="00003C2A">
            <w:pPr>
              <w:spacing w:before="100"/>
              <w:rPr>
                <w:color w:val="000000"/>
                <w:lang w:val="lt-LT"/>
              </w:rPr>
            </w:pPr>
            <w:r w:rsidRPr="009201B2">
              <w:rPr>
                <w:color w:val="000000"/>
                <w:lang w:val="lt-LT"/>
              </w:rPr>
              <w:t>1. Keitimąsis informacija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1439E" w14:textId="77777777" w:rsidR="00A77B3E" w:rsidRPr="009201B2" w:rsidRDefault="00003C2A">
            <w:pPr>
              <w:spacing w:before="100"/>
              <w:rPr>
                <w:color w:val="000000"/>
                <w:lang w:val="lt-LT"/>
              </w:rPr>
            </w:pPr>
            <w:r w:rsidRPr="009201B2">
              <w:rPr>
                <w:color w:val="000000"/>
                <w:lang w:val="lt-LT"/>
              </w:rPr>
              <w:t>Veiksmai pagal IV priedą</w:t>
            </w:r>
          </w:p>
        </w:tc>
      </w:tr>
      <w:tr w:rsidR="00535D32" w:rsidRPr="009201B2" w14:paraId="562DE938"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C5A98"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C61BE" w14:textId="77777777" w:rsidR="00A77B3E" w:rsidRPr="009201B2" w:rsidRDefault="00003C2A">
            <w:pPr>
              <w:spacing w:before="100"/>
              <w:rPr>
                <w:color w:val="000000"/>
                <w:lang w:val="lt-LT"/>
              </w:rPr>
            </w:pPr>
            <w:r w:rsidRPr="009201B2">
              <w:rPr>
                <w:color w:val="000000"/>
                <w:lang w:val="lt-LT"/>
              </w:rPr>
              <w:t>1. Keitimąsis informacija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E9EC7" w14:textId="77777777" w:rsidR="00A77B3E" w:rsidRPr="009201B2" w:rsidRDefault="00003C2A">
            <w:pPr>
              <w:spacing w:before="100"/>
              <w:rPr>
                <w:color w:val="000000"/>
                <w:lang w:val="lt-LT"/>
              </w:rPr>
            </w:pPr>
            <w:r w:rsidRPr="009201B2">
              <w:rPr>
                <w:color w:val="000000"/>
                <w:lang w:val="lt-LT"/>
              </w:rPr>
              <w:t>Veiklos parama</w:t>
            </w:r>
          </w:p>
        </w:tc>
      </w:tr>
      <w:tr w:rsidR="00535D32" w:rsidRPr="009201B2" w14:paraId="677172FC"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8FAA3"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40B45" w14:textId="77777777" w:rsidR="00A77B3E" w:rsidRPr="009201B2" w:rsidRDefault="00003C2A">
            <w:pPr>
              <w:spacing w:before="100"/>
              <w:rPr>
                <w:color w:val="000000"/>
                <w:lang w:val="lt-LT"/>
              </w:rPr>
            </w:pPr>
            <w:r w:rsidRPr="009201B2">
              <w:rPr>
                <w:color w:val="000000"/>
                <w:lang w:val="lt-LT"/>
              </w:rPr>
              <w:t>1. Keitimąsis informacija</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1178F" w14:textId="77777777" w:rsidR="00A77B3E" w:rsidRPr="009201B2" w:rsidRDefault="00003C2A">
            <w:pPr>
              <w:spacing w:before="100"/>
              <w:rPr>
                <w:color w:val="000000"/>
                <w:lang w:val="lt-LT"/>
              </w:rPr>
            </w:pPr>
            <w:r w:rsidRPr="009201B2">
              <w:rPr>
                <w:color w:val="000000"/>
                <w:lang w:val="lt-LT"/>
              </w:rPr>
              <w:t>Pagalba ekstremaliosios situacijos atveju</w:t>
            </w:r>
          </w:p>
        </w:tc>
      </w:tr>
      <w:tr w:rsidR="00535D32" w:rsidRPr="009201B2" w14:paraId="70C0FAB4"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51A90"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8B585" w14:textId="77777777" w:rsidR="00A77B3E" w:rsidRPr="009201B2" w:rsidRDefault="00003C2A">
            <w:pPr>
              <w:spacing w:before="100"/>
              <w:rPr>
                <w:color w:val="000000"/>
                <w:lang w:val="lt-LT"/>
              </w:rPr>
            </w:pPr>
            <w:r w:rsidRPr="009201B2">
              <w:rPr>
                <w:color w:val="000000"/>
                <w:lang w:val="lt-LT"/>
              </w:rPr>
              <w:t>2. Tarpvalstybinis bendradarbiavimas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8736D" w14:textId="77777777" w:rsidR="00A77B3E" w:rsidRPr="009201B2" w:rsidRDefault="00003C2A">
            <w:pPr>
              <w:spacing w:before="100"/>
              <w:rPr>
                <w:color w:val="000000"/>
                <w:lang w:val="lt-LT"/>
              </w:rPr>
            </w:pPr>
            <w:r w:rsidRPr="009201B2">
              <w:rPr>
                <w:color w:val="000000"/>
                <w:lang w:val="lt-LT"/>
              </w:rPr>
              <w:t>Įprasti veiksmai</w:t>
            </w:r>
          </w:p>
        </w:tc>
      </w:tr>
      <w:tr w:rsidR="00535D32" w:rsidRPr="009201B2" w14:paraId="3F1AEE3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ED0FD"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44EA7" w14:textId="77777777" w:rsidR="00A77B3E" w:rsidRPr="009201B2" w:rsidRDefault="00003C2A">
            <w:pPr>
              <w:spacing w:before="100"/>
              <w:rPr>
                <w:color w:val="000000"/>
                <w:lang w:val="lt-LT"/>
              </w:rPr>
            </w:pPr>
            <w:r w:rsidRPr="009201B2">
              <w:rPr>
                <w:color w:val="000000"/>
                <w:lang w:val="lt-LT"/>
              </w:rPr>
              <w:t>2. Tarpvalstybinis bendradarbiavimas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A4737" w14:textId="77777777" w:rsidR="00A77B3E" w:rsidRPr="009201B2" w:rsidRDefault="00003C2A">
            <w:pPr>
              <w:spacing w:before="100"/>
              <w:rPr>
                <w:color w:val="000000"/>
                <w:lang w:val="lt-LT"/>
              </w:rPr>
            </w:pPr>
            <w:r w:rsidRPr="009201B2">
              <w:rPr>
                <w:color w:val="000000"/>
                <w:lang w:val="lt-LT"/>
              </w:rPr>
              <w:t>Konkretūs veiksmai</w:t>
            </w:r>
          </w:p>
        </w:tc>
      </w:tr>
      <w:tr w:rsidR="00535D32" w:rsidRPr="009201B2" w14:paraId="5949DA3B"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1504F"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28D24" w14:textId="77777777" w:rsidR="00A77B3E" w:rsidRPr="009201B2" w:rsidRDefault="00003C2A">
            <w:pPr>
              <w:spacing w:before="100"/>
              <w:rPr>
                <w:color w:val="000000"/>
                <w:lang w:val="lt-LT"/>
              </w:rPr>
            </w:pPr>
            <w:r w:rsidRPr="009201B2">
              <w:rPr>
                <w:color w:val="000000"/>
                <w:lang w:val="lt-LT"/>
              </w:rPr>
              <w:t>2. Tarpvalstybinis bendradarbiavimas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D5885" w14:textId="77777777" w:rsidR="00A77B3E" w:rsidRPr="009201B2" w:rsidRDefault="00003C2A">
            <w:pPr>
              <w:spacing w:before="100"/>
              <w:rPr>
                <w:color w:val="000000"/>
                <w:lang w:val="lt-LT"/>
              </w:rPr>
            </w:pPr>
            <w:r w:rsidRPr="009201B2">
              <w:rPr>
                <w:color w:val="000000"/>
                <w:lang w:val="lt-LT"/>
              </w:rPr>
              <w:t>Veiksmai pagal IV priedą</w:t>
            </w:r>
          </w:p>
        </w:tc>
      </w:tr>
      <w:tr w:rsidR="00535D32" w:rsidRPr="009201B2" w14:paraId="0D7F174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5E334"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9E63A" w14:textId="77777777" w:rsidR="00A77B3E" w:rsidRPr="009201B2" w:rsidRDefault="00003C2A">
            <w:pPr>
              <w:spacing w:before="100"/>
              <w:rPr>
                <w:color w:val="000000"/>
                <w:lang w:val="lt-LT"/>
              </w:rPr>
            </w:pPr>
            <w:r w:rsidRPr="009201B2">
              <w:rPr>
                <w:color w:val="000000"/>
                <w:lang w:val="lt-LT"/>
              </w:rPr>
              <w:t>2. Tarpvalstybinis bendradarbiavimas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242F1" w14:textId="77777777" w:rsidR="00A77B3E" w:rsidRPr="009201B2" w:rsidRDefault="00003C2A">
            <w:pPr>
              <w:spacing w:before="100"/>
              <w:rPr>
                <w:color w:val="000000"/>
                <w:lang w:val="lt-LT"/>
              </w:rPr>
            </w:pPr>
            <w:r w:rsidRPr="009201B2">
              <w:rPr>
                <w:color w:val="000000"/>
                <w:lang w:val="lt-LT"/>
              </w:rPr>
              <w:t>Veiklos parama</w:t>
            </w:r>
          </w:p>
        </w:tc>
      </w:tr>
      <w:tr w:rsidR="00535D32" w:rsidRPr="009201B2" w14:paraId="13CC9E4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DD9A2"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314F0" w14:textId="77777777" w:rsidR="00A77B3E" w:rsidRPr="009201B2" w:rsidRDefault="00003C2A">
            <w:pPr>
              <w:spacing w:before="100"/>
              <w:rPr>
                <w:color w:val="000000"/>
                <w:lang w:val="lt-LT"/>
              </w:rPr>
            </w:pPr>
            <w:r w:rsidRPr="009201B2">
              <w:rPr>
                <w:color w:val="000000"/>
                <w:lang w:val="lt-LT"/>
              </w:rPr>
              <w:t>2. Tarpvalstybinis bendradarbiavimas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030B" w14:textId="77777777" w:rsidR="00A77B3E" w:rsidRPr="009201B2" w:rsidRDefault="00003C2A">
            <w:pPr>
              <w:spacing w:before="100"/>
              <w:rPr>
                <w:color w:val="000000"/>
                <w:lang w:val="lt-LT"/>
              </w:rPr>
            </w:pPr>
            <w:r w:rsidRPr="009201B2">
              <w:rPr>
                <w:color w:val="000000"/>
                <w:lang w:val="lt-LT"/>
              </w:rPr>
              <w:t>Pagalba ekstremaliosios situacijos atveju</w:t>
            </w:r>
          </w:p>
        </w:tc>
      </w:tr>
      <w:tr w:rsidR="00535D32" w:rsidRPr="009201B2" w14:paraId="00FED6F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FF49D"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EC13" w14:textId="77777777" w:rsidR="00A77B3E" w:rsidRPr="009201B2" w:rsidRDefault="00003C2A">
            <w:pPr>
              <w:spacing w:before="100"/>
              <w:rPr>
                <w:color w:val="000000"/>
                <w:lang w:val="lt-LT"/>
              </w:rPr>
            </w:pPr>
            <w:r w:rsidRPr="009201B2">
              <w:rPr>
                <w:color w:val="000000"/>
                <w:lang w:val="lt-LT"/>
              </w:rPr>
              <w:t>3. Nusikalstamumo prevencija ir kova su juo</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861DB" w14:textId="77777777" w:rsidR="00A77B3E" w:rsidRPr="009201B2" w:rsidRDefault="00003C2A">
            <w:pPr>
              <w:spacing w:before="100"/>
              <w:rPr>
                <w:color w:val="000000"/>
                <w:lang w:val="lt-LT"/>
              </w:rPr>
            </w:pPr>
            <w:r w:rsidRPr="009201B2">
              <w:rPr>
                <w:color w:val="000000"/>
                <w:lang w:val="lt-LT"/>
              </w:rPr>
              <w:t>Įprasti veiksmai</w:t>
            </w:r>
          </w:p>
        </w:tc>
      </w:tr>
      <w:tr w:rsidR="00535D32" w:rsidRPr="009201B2" w14:paraId="4904DB3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8A0DC"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FF270" w14:textId="77777777" w:rsidR="00A77B3E" w:rsidRPr="009201B2" w:rsidRDefault="00003C2A">
            <w:pPr>
              <w:spacing w:before="100"/>
              <w:rPr>
                <w:color w:val="000000"/>
                <w:lang w:val="lt-LT"/>
              </w:rPr>
            </w:pPr>
            <w:r w:rsidRPr="009201B2">
              <w:rPr>
                <w:color w:val="000000"/>
                <w:lang w:val="lt-LT"/>
              </w:rPr>
              <w:t>3. Nusikalstamumo prevencija ir kova su juo</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481D0" w14:textId="77777777" w:rsidR="00A77B3E" w:rsidRPr="009201B2" w:rsidRDefault="00003C2A">
            <w:pPr>
              <w:spacing w:before="100"/>
              <w:rPr>
                <w:color w:val="000000"/>
                <w:lang w:val="lt-LT"/>
              </w:rPr>
            </w:pPr>
            <w:r w:rsidRPr="009201B2">
              <w:rPr>
                <w:color w:val="000000"/>
                <w:lang w:val="lt-LT"/>
              </w:rPr>
              <w:t>Konkretūs veiksmai</w:t>
            </w:r>
          </w:p>
        </w:tc>
      </w:tr>
      <w:tr w:rsidR="00535D32" w:rsidRPr="009201B2" w14:paraId="6077D25D"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A6781"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1A53D" w14:textId="77777777" w:rsidR="00A77B3E" w:rsidRPr="009201B2" w:rsidRDefault="00003C2A">
            <w:pPr>
              <w:spacing w:before="100"/>
              <w:rPr>
                <w:color w:val="000000"/>
                <w:lang w:val="lt-LT"/>
              </w:rPr>
            </w:pPr>
            <w:r w:rsidRPr="009201B2">
              <w:rPr>
                <w:color w:val="000000"/>
                <w:lang w:val="lt-LT"/>
              </w:rPr>
              <w:t>3. Nusikalstamumo prevencija ir kova su juo</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D0C25" w14:textId="77777777" w:rsidR="00A77B3E" w:rsidRPr="009201B2" w:rsidRDefault="00003C2A">
            <w:pPr>
              <w:spacing w:before="100"/>
              <w:rPr>
                <w:color w:val="000000"/>
                <w:lang w:val="lt-LT"/>
              </w:rPr>
            </w:pPr>
            <w:r w:rsidRPr="009201B2">
              <w:rPr>
                <w:color w:val="000000"/>
                <w:lang w:val="lt-LT"/>
              </w:rPr>
              <w:t>Veiksmai pagal IV priedą</w:t>
            </w:r>
          </w:p>
        </w:tc>
      </w:tr>
      <w:tr w:rsidR="00535D32" w:rsidRPr="009201B2" w14:paraId="051FC27C"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E1B57"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BC57A" w14:textId="77777777" w:rsidR="00A77B3E" w:rsidRPr="009201B2" w:rsidRDefault="00003C2A">
            <w:pPr>
              <w:spacing w:before="100"/>
              <w:rPr>
                <w:color w:val="000000"/>
                <w:lang w:val="lt-LT"/>
              </w:rPr>
            </w:pPr>
            <w:r w:rsidRPr="009201B2">
              <w:rPr>
                <w:color w:val="000000"/>
                <w:lang w:val="lt-LT"/>
              </w:rPr>
              <w:t>3. Nusikalstamumo prevencija ir kova su juo</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B04F" w14:textId="77777777" w:rsidR="00A77B3E" w:rsidRPr="009201B2" w:rsidRDefault="00003C2A">
            <w:pPr>
              <w:spacing w:before="100"/>
              <w:rPr>
                <w:color w:val="000000"/>
                <w:lang w:val="lt-LT"/>
              </w:rPr>
            </w:pPr>
            <w:r w:rsidRPr="009201B2">
              <w:rPr>
                <w:color w:val="000000"/>
                <w:lang w:val="lt-LT"/>
              </w:rPr>
              <w:t>Veiklos parama</w:t>
            </w:r>
          </w:p>
        </w:tc>
      </w:tr>
      <w:tr w:rsidR="00535D32" w:rsidRPr="009201B2" w14:paraId="099AFF8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4C539"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EDBB2" w14:textId="77777777" w:rsidR="00A77B3E" w:rsidRPr="009201B2" w:rsidRDefault="00003C2A">
            <w:pPr>
              <w:spacing w:before="100"/>
              <w:rPr>
                <w:color w:val="000000"/>
                <w:lang w:val="lt-LT"/>
              </w:rPr>
            </w:pPr>
            <w:r w:rsidRPr="009201B2">
              <w:rPr>
                <w:color w:val="000000"/>
                <w:lang w:val="lt-LT"/>
              </w:rPr>
              <w:t>3. Nusikalstamumo prevencija ir kova su juo</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F1A26" w14:textId="77777777" w:rsidR="00A77B3E" w:rsidRPr="009201B2" w:rsidRDefault="00003C2A">
            <w:pPr>
              <w:spacing w:before="100"/>
              <w:rPr>
                <w:color w:val="000000"/>
                <w:lang w:val="lt-LT"/>
              </w:rPr>
            </w:pPr>
            <w:r w:rsidRPr="009201B2">
              <w:rPr>
                <w:color w:val="000000"/>
                <w:lang w:val="lt-LT"/>
              </w:rPr>
              <w:t>Pagalba ekstremaliosios situacijos atveju</w:t>
            </w:r>
          </w:p>
        </w:tc>
      </w:tr>
      <w:tr w:rsidR="00535D32" w:rsidRPr="009201B2" w14:paraId="78BFCDA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5162"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1"/>
                    <w:checked/>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3DBB2" w14:textId="77777777" w:rsidR="00A77B3E" w:rsidRPr="009201B2" w:rsidRDefault="00003C2A">
            <w:pPr>
              <w:spacing w:before="100"/>
              <w:rPr>
                <w:color w:val="000000"/>
                <w:lang w:val="lt-LT"/>
              </w:rPr>
            </w:pPr>
            <w:r w:rsidRPr="009201B2">
              <w:rPr>
                <w:color w:val="000000"/>
                <w:lang w:val="lt-LT"/>
              </w:rPr>
              <w:t>TA.36(5). Techninė pagalba – fiksuoto dydžio (BNR 36 straipsnio 5 dalis)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FECE5" w14:textId="77777777" w:rsidR="00A77B3E" w:rsidRPr="009201B2" w:rsidRDefault="00A77B3E">
            <w:pPr>
              <w:spacing w:before="100"/>
              <w:rPr>
                <w:color w:val="000000"/>
                <w:lang w:val="lt-LT"/>
              </w:rPr>
            </w:pPr>
          </w:p>
        </w:tc>
      </w:tr>
      <w:tr w:rsidR="00535D32" w:rsidRPr="009201B2" w14:paraId="37403BE7"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07B6B" w14:textId="77777777" w:rsidR="00A77B3E" w:rsidRPr="009201B2" w:rsidRDefault="00003C2A">
            <w:pPr>
              <w:spacing w:before="100"/>
              <w:jc w:val="center"/>
              <w:rPr>
                <w:color w:val="000000"/>
                <w:lang w:val="lt-LT"/>
              </w:rPr>
            </w:pPr>
            <w:r w:rsidRPr="009201B2">
              <w:rPr>
                <w:color w:val="000000"/>
                <w:lang w:val="lt-LT"/>
              </w:rPr>
              <w:fldChar w:fldCharType="begin">
                <w:ffData>
                  <w:name w:val=""/>
                  <w:enabled/>
                  <w:calcOnExit w:val="0"/>
                  <w:checkBox>
                    <w:size w:val="20"/>
                    <w:default w:val="0"/>
                    <w:checked w:val="0"/>
                  </w:checkBox>
                </w:ffData>
              </w:fldChar>
            </w:r>
            <w:r w:rsidRPr="009201B2">
              <w:rPr>
                <w:color w:val="000000"/>
                <w:lang w:val="lt-LT"/>
              </w:rPr>
              <w:instrText xml:space="preserve"> FORMCHECKBOX </w:instrText>
            </w:r>
            <w:r w:rsidR="004A5EA0">
              <w:rPr>
                <w:color w:val="000000"/>
                <w:lang w:val="lt-LT"/>
              </w:rPr>
            </w:r>
            <w:r w:rsidR="004A5EA0">
              <w:rPr>
                <w:color w:val="000000"/>
                <w:lang w:val="lt-LT"/>
              </w:rPr>
              <w:fldChar w:fldCharType="separate"/>
            </w:r>
            <w:r w:rsidRPr="009201B2">
              <w:rPr>
                <w:color w:val="000000"/>
                <w:lang w:val="lt-LT"/>
              </w:rPr>
              <w:fldChar w:fldCharType="end"/>
            </w:r>
            <w:r w:rsidRPr="009201B2">
              <w:rPr>
                <w:color w:val="000000"/>
                <w:lang w:val="lt-LT"/>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BA14B" w14:textId="77777777" w:rsidR="00A77B3E" w:rsidRPr="009201B2" w:rsidRDefault="00003C2A">
            <w:pPr>
              <w:spacing w:before="100"/>
              <w:rPr>
                <w:color w:val="000000"/>
                <w:lang w:val="lt-LT"/>
              </w:rPr>
            </w:pPr>
            <w:r w:rsidRPr="009201B2">
              <w:rPr>
                <w:color w:val="000000"/>
                <w:lang w:val="lt-LT"/>
              </w:rPr>
              <w:t>TA.37. Techninė pagalba – nesusijusi su išlaidomis (BNR 37 straipsnis)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7A9F8" w14:textId="77777777" w:rsidR="00A77B3E" w:rsidRPr="009201B2" w:rsidRDefault="00A77B3E">
            <w:pPr>
              <w:spacing w:before="100"/>
              <w:rPr>
                <w:color w:val="000000"/>
                <w:lang w:val="lt-LT"/>
              </w:rPr>
            </w:pPr>
          </w:p>
        </w:tc>
      </w:tr>
    </w:tbl>
    <w:p w14:paraId="3646D839" w14:textId="77777777" w:rsidR="00A77B3E" w:rsidRPr="009201B2" w:rsidRDefault="00A77B3E">
      <w:pPr>
        <w:spacing w:before="100"/>
        <w:jc w:val="center"/>
        <w:rPr>
          <w:color w:val="000000"/>
          <w:lang w:val="lt-LT"/>
        </w:rPr>
        <w:sectPr w:rsidR="00A77B3E" w:rsidRPr="009201B2">
          <w:headerReference w:type="even" r:id="rId12"/>
          <w:headerReference w:type="default" r:id="rId13"/>
          <w:footerReference w:type="even" r:id="rId14"/>
          <w:footerReference w:type="default" r:id="rId15"/>
          <w:headerReference w:type="first" r:id="rId16"/>
          <w:footerReference w:type="first" r:id="rId17"/>
          <w:pgSz w:w="11906" w:h="16838"/>
          <w:pgMar w:top="720" w:right="936" w:bottom="864" w:left="720" w:header="0" w:footer="72" w:gutter="0"/>
          <w:cols w:space="720"/>
          <w:noEndnote/>
          <w:docGrid w:linePitch="360"/>
        </w:sectPr>
      </w:pPr>
    </w:p>
    <w:p w14:paraId="56E1CB3D"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2" w:name="_Toc256000059"/>
      <w:r w:rsidRPr="009201B2">
        <w:rPr>
          <w:rFonts w:ascii="Times New Roman" w:hAnsi="Times New Roman" w:cs="Times New Roman"/>
          <w:b w:val="0"/>
          <w:i w:val="0"/>
          <w:color w:val="000000"/>
          <w:sz w:val="24"/>
          <w:lang w:val="lt-LT"/>
        </w:rPr>
        <w:lastRenderedPageBreak/>
        <w:t>2.1. Konkretus tikslas: 1. Keitimąsis informacija</w:t>
      </w:r>
      <w:bookmarkEnd w:id="2"/>
    </w:p>
    <w:p w14:paraId="2F3EB668" w14:textId="77777777" w:rsidR="00A77B3E" w:rsidRPr="009201B2" w:rsidRDefault="00A77B3E">
      <w:pPr>
        <w:spacing w:before="100"/>
        <w:rPr>
          <w:color w:val="000000"/>
          <w:sz w:val="0"/>
          <w:lang w:val="lt-LT"/>
        </w:rPr>
      </w:pPr>
    </w:p>
    <w:p w14:paraId="13E8860E"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3" w:name="_Toc256000060"/>
      <w:r w:rsidRPr="009201B2">
        <w:rPr>
          <w:rFonts w:ascii="Times New Roman" w:hAnsi="Times New Roman" w:cs="Times New Roman"/>
          <w:b w:val="0"/>
          <w:color w:val="000000"/>
          <w:sz w:val="24"/>
          <w:lang w:val="lt-LT"/>
        </w:rPr>
        <w:t>2.1.1. Konkretaus tikslo aprašymas</w:t>
      </w:r>
      <w:bookmarkEnd w:id="3"/>
    </w:p>
    <w:p w14:paraId="5A6B8B7F"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9201B2" w14:paraId="279E350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35AC1" w14:textId="77777777" w:rsidR="00A77B3E" w:rsidRPr="009201B2" w:rsidRDefault="00A77B3E">
            <w:pPr>
              <w:spacing w:before="100"/>
              <w:rPr>
                <w:color w:val="000000"/>
                <w:sz w:val="0"/>
                <w:lang w:val="lt-LT"/>
              </w:rPr>
            </w:pPr>
          </w:p>
          <w:p w14:paraId="494D933A" w14:textId="067B6DE7" w:rsidR="00A77B3E" w:rsidRPr="009201B2" w:rsidRDefault="00BF5E1E">
            <w:pPr>
              <w:spacing w:before="100"/>
              <w:rPr>
                <w:color w:val="000000"/>
                <w:lang w:val="lt-LT"/>
              </w:rPr>
            </w:pPr>
            <w:r w:rsidRPr="00BF5E1E">
              <w:rPr>
                <w:b/>
                <w:bCs/>
                <w:i/>
                <w:iCs/>
                <w:color w:val="000000"/>
                <w:lang w:val="lt-LT"/>
              </w:rPr>
              <w:t xml:space="preserve">Finansiniai prioritetai, kuriuos LT įgyvendins, kad pasiektų </w:t>
            </w:r>
            <w:r>
              <w:rPr>
                <w:b/>
                <w:bCs/>
                <w:i/>
                <w:iCs/>
                <w:color w:val="000000"/>
                <w:lang w:val="lt-LT"/>
              </w:rPr>
              <w:t>KT</w:t>
            </w:r>
            <w:r w:rsidR="00BE352F">
              <w:rPr>
                <w:b/>
                <w:bCs/>
                <w:i/>
                <w:iCs/>
                <w:color w:val="000000"/>
              </w:rPr>
              <w:t>1</w:t>
            </w:r>
            <w:r w:rsidRPr="00BF5E1E">
              <w:rPr>
                <w:b/>
                <w:bCs/>
                <w:i/>
                <w:iCs/>
                <w:color w:val="000000"/>
                <w:lang w:val="lt-LT"/>
              </w:rPr>
              <w:t xml:space="preserve">: </w:t>
            </w:r>
            <w:r w:rsidR="00003C2A" w:rsidRPr="009201B2">
              <w:rPr>
                <w:b/>
                <w:bCs/>
                <w:i/>
                <w:iCs/>
                <w:color w:val="000000"/>
                <w:lang w:val="lt-LT"/>
              </w:rPr>
              <w:t xml:space="preserve"> </w:t>
            </w:r>
          </w:p>
          <w:p w14:paraId="4015EE50" w14:textId="77777777" w:rsidR="00A77B3E" w:rsidRPr="009201B2" w:rsidRDefault="00A77B3E">
            <w:pPr>
              <w:spacing w:before="100"/>
              <w:rPr>
                <w:color w:val="000000"/>
                <w:lang w:val="lt-LT"/>
              </w:rPr>
            </w:pPr>
          </w:p>
          <w:p w14:paraId="24644F87" w14:textId="1673885B" w:rsidR="00A77B3E" w:rsidRPr="009201B2" w:rsidRDefault="00003C2A">
            <w:pPr>
              <w:spacing w:before="100"/>
              <w:rPr>
                <w:color w:val="000000"/>
                <w:lang w:val="lt-LT"/>
              </w:rPr>
            </w:pPr>
            <w:r w:rsidRPr="009201B2">
              <w:rPr>
                <w:b/>
                <w:bCs/>
                <w:i/>
                <w:iCs/>
                <w:color w:val="000000"/>
                <w:lang w:val="lt-LT"/>
              </w:rPr>
              <w:t>Informa</w:t>
            </w:r>
            <w:r w:rsidR="00BF5E1E">
              <w:rPr>
                <w:b/>
                <w:bCs/>
                <w:i/>
                <w:iCs/>
                <w:color w:val="000000"/>
                <w:lang w:val="lt-LT"/>
              </w:rPr>
              <w:t>cinės sistemos</w:t>
            </w:r>
            <w:r w:rsidR="00A96105">
              <w:rPr>
                <w:b/>
                <w:bCs/>
                <w:i/>
                <w:iCs/>
                <w:color w:val="000000"/>
                <w:lang w:val="lt-LT"/>
              </w:rPr>
              <w:t xml:space="preserve"> (IS)</w:t>
            </w:r>
          </w:p>
          <w:p w14:paraId="374BA710" w14:textId="2A425130" w:rsidR="00A77B3E" w:rsidRPr="009201B2" w:rsidRDefault="00BF5E1E" w:rsidP="004A5EA0">
            <w:pPr>
              <w:spacing w:before="100"/>
              <w:jc w:val="both"/>
              <w:rPr>
                <w:color w:val="000000"/>
                <w:lang w:val="lt-LT"/>
              </w:rPr>
            </w:pPr>
            <w:r w:rsidRPr="00BF5E1E">
              <w:rPr>
                <w:color w:val="000000"/>
                <w:lang w:val="lt-LT"/>
              </w:rPr>
              <w:t xml:space="preserve">Šiandien nusikalstamumas itin sparčiai prisitaiko prie mokslo ir technologijų pokyčių, todėl vidaus saugumo srityje nuolat kinta grėsmės, kurias reikia atidžiai stebėti ir operatyviai į jas reaguoti imantis naujų kovos priemonių tiek ES, tiek nacionaliniu lygmeniu. </w:t>
            </w:r>
            <w:r w:rsidR="00A96105">
              <w:rPr>
                <w:color w:val="000000"/>
                <w:lang w:val="lt-LT"/>
              </w:rPr>
              <w:t>Dėl šios priežasties</w:t>
            </w:r>
            <w:r w:rsidRPr="00BF5E1E">
              <w:rPr>
                <w:color w:val="000000"/>
                <w:lang w:val="lt-LT"/>
              </w:rPr>
              <w:t xml:space="preserve"> IS, programinės ir kitos įrangos bei operatyvinių procesų tobulinimas yra nuolatinis procesas, kurio metu dėl nepakankamos IT sprendimų integracijos kyla problemų, susijusių su jų naudojimo ir keitimosi informacija, ypač tarpvalstybine, veiksmingumu ir efektyvumu.</w:t>
            </w:r>
          </w:p>
          <w:p w14:paraId="6C54F36A" w14:textId="77777777" w:rsidR="00A77B3E" w:rsidRPr="009201B2" w:rsidRDefault="00A77B3E" w:rsidP="004A5EA0">
            <w:pPr>
              <w:spacing w:before="100"/>
              <w:jc w:val="both"/>
              <w:rPr>
                <w:color w:val="000000"/>
                <w:lang w:val="lt-LT"/>
              </w:rPr>
            </w:pPr>
          </w:p>
          <w:p w14:paraId="120B2B36" w14:textId="5C5E5241" w:rsidR="00A77B3E" w:rsidRPr="009201B2" w:rsidRDefault="00A96105" w:rsidP="004A5EA0">
            <w:pPr>
              <w:spacing w:before="100"/>
              <w:jc w:val="both"/>
              <w:rPr>
                <w:color w:val="000000"/>
                <w:lang w:val="lt-LT"/>
              </w:rPr>
            </w:pPr>
            <w:r>
              <w:rPr>
                <w:color w:val="000000"/>
                <w:lang w:val="lt-LT"/>
              </w:rPr>
              <w:t>Nauj</w:t>
            </w:r>
            <w:r w:rsidR="008416F9">
              <w:rPr>
                <w:color w:val="000000"/>
                <w:lang w:val="lt-LT"/>
              </w:rPr>
              <w:t>uose</w:t>
            </w:r>
            <w:r>
              <w:rPr>
                <w:color w:val="000000"/>
                <w:lang w:val="lt-LT"/>
              </w:rPr>
              <w:t xml:space="preserve"> Šengeno informacinė</w:t>
            </w:r>
            <w:r w:rsidR="00923A42">
              <w:rPr>
                <w:color w:val="000000"/>
                <w:lang w:val="lt-LT"/>
              </w:rPr>
              <w:t>s</w:t>
            </w:r>
            <w:r>
              <w:rPr>
                <w:color w:val="000000"/>
                <w:lang w:val="lt-LT"/>
              </w:rPr>
              <w:t xml:space="preserve"> sistem</w:t>
            </w:r>
            <w:r w:rsidR="00923A42">
              <w:rPr>
                <w:color w:val="000000"/>
                <w:lang w:val="lt-LT"/>
              </w:rPr>
              <w:t>os</w:t>
            </w:r>
            <w:r>
              <w:rPr>
                <w:color w:val="000000"/>
                <w:lang w:val="lt-LT"/>
              </w:rPr>
              <w:t>, Europos kelionių informacijos ir leidimų išdavimo sistem</w:t>
            </w:r>
            <w:r w:rsidR="00923A42">
              <w:rPr>
                <w:color w:val="000000"/>
                <w:lang w:val="lt-LT"/>
              </w:rPr>
              <w:t>os</w:t>
            </w:r>
            <w:r>
              <w:rPr>
                <w:color w:val="000000"/>
                <w:lang w:val="lt-LT"/>
              </w:rPr>
              <w:t xml:space="preserve"> (angl. </w:t>
            </w:r>
            <w:r w:rsidR="00003C2A" w:rsidRPr="009201B2">
              <w:rPr>
                <w:color w:val="000000"/>
                <w:lang w:val="lt-LT"/>
              </w:rPr>
              <w:t xml:space="preserve">ETIAS), </w:t>
            </w:r>
            <w:r w:rsidR="00923A42">
              <w:rPr>
                <w:color w:val="000000"/>
                <w:lang w:val="lt-LT"/>
              </w:rPr>
              <w:t>atvykimo ir  išvykimo sistemos</w:t>
            </w:r>
            <w:r w:rsidR="00003C2A" w:rsidRPr="009201B2">
              <w:rPr>
                <w:color w:val="000000"/>
                <w:lang w:val="lt-LT"/>
              </w:rPr>
              <w:t xml:space="preserve">, </w:t>
            </w:r>
            <w:r w:rsidR="00923A42">
              <w:rPr>
                <w:color w:val="000000"/>
                <w:lang w:val="lt-LT"/>
              </w:rPr>
              <w:t>c</w:t>
            </w:r>
            <w:r w:rsidR="00923A42" w:rsidRPr="00923A42">
              <w:rPr>
                <w:color w:val="000000"/>
                <w:lang w:val="lt-LT"/>
              </w:rPr>
              <w:t xml:space="preserve">entralizuotos valstybių narių identifikavimo sistemos, turinčios informacijos apie </w:t>
            </w:r>
            <w:r w:rsidR="00923A42">
              <w:rPr>
                <w:color w:val="000000"/>
                <w:lang w:val="lt-LT"/>
              </w:rPr>
              <w:t xml:space="preserve">priimtus </w:t>
            </w:r>
            <w:r w:rsidR="00923A42" w:rsidRPr="00923A42">
              <w:rPr>
                <w:color w:val="000000"/>
                <w:lang w:val="lt-LT"/>
              </w:rPr>
              <w:t>trečiųjų šalių piliečių ir asmenų be pilietybės apkaltinamuosius nuosprendžius</w:t>
            </w:r>
            <w:r w:rsidR="00923A42">
              <w:rPr>
                <w:color w:val="000000"/>
                <w:lang w:val="lt-LT"/>
              </w:rPr>
              <w:t xml:space="preserve"> </w:t>
            </w:r>
            <w:r w:rsidR="00003C2A" w:rsidRPr="009201B2">
              <w:rPr>
                <w:color w:val="000000"/>
                <w:lang w:val="lt-LT"/>
              </w:rPr>
              <w:t>(</w:t>
            </w:r>
            <w:r w:rsidR="00923A42">
              <w:rPr>
                <w:color w:val="000000"/>
                <w:lang w:val="lt-LT"/>
              </w:rPr>
              <w:t xml:space="preserve">angl. </w:t>
            </w:r>
            <w:r w:rsidR="00003C2A" w:rsidRPr="009201B2">
              <w:rPr>
                <w:color w:val="000000"/>
                <w:lang w:val="lt-LT"/>
              </w:rPr>
              <w:t>ECRIS-TCN) r</w:t>
            </w:r>
            <w:r w:rsidR="00923A42" w:rsidRPr="00923A42">
              <w:rPr>
                <w:color w:val="000000"/>
                <w:lang w:val="lt-LT"/>
              </w:rPr>
              <w:t>eglamentuose nustatytos naujos duomenų kategorijos ir priemonės, kurių LT policija netaiko ir nėra įdiegusi, tačiau atnaujinant esamas keitimosi duomenimis su užsienio partneriais priemones ir sistemas, taip pat įgyvendinant tinkamą sistemų sąveiką</w:t>
            </w:r>
            <w:r w:rsidR="00923A42">
              <w:rPr>
                <w:color w:val="000000"/>
                <w:lang w:val="lt-LT"/>
              </w:rPr>
              <w:t xml:space="preserve">, </w:t>
            </w:r>
            <w:r w:rsidR="00923A42" w:rsidRPr="00923A42">
              <w:rPr>
                <w:color w:val="000000"/>
                <w:lang w:val="lt-LT"/>
              </w:rPr>
              <w:t>jų įdiegimas neišvengiamas. Informacijos apie apkaltinamuosius nuosprendžius (ECRIS) naudojimas kovojant su nusikalstamumu ir terorizmu padėtų sustiprinti atsaką į radikalizaciją, kuri skatina terorizmą ir smurtinį ekstremizmą</w:t>
            </w:r>
            <w:r w:rsidR="00003C2A" w:rsidRPr="009201B2">
              <w:rPr>
                <w:color w:val="000000"/>
                <w:lang w:val="lt-LT"/>
              </w:rPr>
              <w:t>.</w:t>
            </w:r>
          </w:p>
          <w:p w14:paraId="51857A47" w14:textId="77777777" w:rsidR="00A77B3E" w:rsidRPr="009201B2" w:rsidRDefault="00A77B3E" w:rsidP="004A5EA0">
            <w:pPr>
              <w:spacing w:before="100"/>
              <w:jc w:val="both"/>
              <w:rPr>
                <w:color w:val="000000"/>
                <w:lang w:val="lt-LT"/>
              </w:rPr>
            </w:pPr>
          </w:p>
          <w:p w14:paraId="08B0D076" w14:textId="310DFDE8" w:rsidR="00A77B3E" w:rsidRPr="009201B2" w:rsidRDefault="00923A42" w:rsidP="004A5EA0">
            <w:pPr>
              <w:spacing w:before="100"/>
              <w:jc w:val="both"/>
              <w:rPr>
                <w:color w:val="000000"/>
                <w:lang w:val="lt-LT"/>
              </w:rPr>
            </w:pPr>
            <w:r w:rsidRPr="00923A42">
              <w:rPr>
                <w:color w:val="000000"/>
                <w:lang w:val="lt-LT"/>
              </w:rPr>
              <w:t>Šiuo metu numatoma, kad bus peržiūrėta</w:t>
            </w:r>
            <w:r w:rsidR="00003C2A" w:rsidRPr="009201B2">
              <w:rPr>
                <w:color w:val="000000"/>
                <w:lang w:val="lt-LT"/>
              </w:rPr>
              <w:t xml:space="preserve"> </w:t>
            </w:r>
            <w:r>
              <w:rPr>
                <w:color w:val="000000"/>
                <w:lang w:val="lt-LT"/>
              </w:rPr>
              <w:t>išankstinės informacijos apie keleivius direktyva</w:t>
            </w:r>
            <w:r w:rsidR="00003C2A" w:rsidRPr="009201B2">
              <w:rPr>
                <w:color w:val="000000"/>
                <w:lang w:val="lt-LT"/>
              </w:rPr>
              <w:t xml:space="preserve">, </w:t>
            </w:r>
            <w:r>
              <w:rPr>
                <w:color w:val="000000"/>
                <w:lang w:val="lt-LT"/>
              </w:rPr>
              <w:t>Priumo sprendimai</w:t>
            </w:r>
            <w:r w:rsidR="006C4E1E">
              <w:rPr>
                <w:color w:val="000000"/>
                <w:lang w:val="lt-LT"/>
              </w:rPr>
              <w:t xml:space="preserve"> (PRUM)</w:t>
            </w:r>
            <w:r>
              <w:rPr>
                <w:color w:val="000000"/>
                <w:lang w:val="lt-LT"/>
              </w:rPr>
              <w:t xml:space="preserve">, </w:t>
            </w:r>
            <w:r w:rsidRPr="00923A42">
              <w:rPr>
                <w:color w:val="000000"/>
                <w:lang w:val="lt-LT"/>
              </w:rPr>
              <w:t xml:space="preserve">EK pateiks pasiūlymą dėl Europos policijos kodekso, todėl neišvengiamai reikės tinkamai perkelti ir tobulinti šiuos teisės aktus ir informacines sistemas, gerinti pareigūnų gebėjimus taikyti naujus procesus ir sistemas. </w:t>
            </w:r>
          </w:p>
          <w:p w14:paraId="0239EA1B" w14:textId="77777777" w:rsidR="00A77B3E" w:rsidRPr="009201B2" w:rsidRDefault="00A77B3E" w:rsidP="004A5EA0">
            <w:pPr>
              <w:spacing w:before="100"/>
              <w:jc w:val="both"/>
              <w:rPr>
                <w:color w:val="000000"/>
                <w:lang w:val="lt-LT"/>
              </w:rPr>
            </w:pPr>
          </w:p>
          <w:p w14:paraId="02D6B9DF" w14:textId="09884109" w:rsidR="00A77B3E" w:rsidRPr="009201B2" w:rsidRDefault="00923A42" w:rsidP="004A5EA0">
            <w:pPr>
              <w:spacing w:before="100"/>
              <w:jc w:val="both"/>
              <w:rPr>
                <w:color w:val="000000"/>
                <w:lang w:val="lt-LT"/>
              </w:rPr>
            </w:pPr>
            <w:r>
              <w:rPr>
                <w:color w:val="000000"/>
                <w:lang w:val="lt-LT"/>
              </w:rPr>
              <w:t>Lietuvos policija susiduria su nuolatin</w:t>
            </w:r>
            <w:r w:rsidR="006C4E1E">
              <w:rPr>
                <w:color w:val="000000"/>
                <w:lang w:val="lt-LT"/>
              </w:rPr>
              <w:t xml:space="preserve">io </w:t>
            </w:r>
            <w:r w:rsidR="006C4E1E" w:rsidRPr="006C4E1E">
              <w:rPr>
                <w:color w:val="000000"/>
                <w:lang w:val="lt-LT"/>
              </w:rPr>
              <w:t>kriminalistin</w:t>
            </w:r>
            <w:r w:rsidR="006C4E1E">
              <w:rPr>
                <w:color w:val="000000"/>
                <w:lang w:val="lt-LT"/>
              </w:rPr>
              <w:t>ių tyrimų</w:t>
            </w:r>
            <w:r w:rsidR="006C4E1E" w:rsidRPr="006C4E1E">
              <w:rPr>
                <w:color w:val="000000"/>
                <w:lang w:val="lt-LT"/>
              </w:rPr>
              <w:t xml:space="preserve"> įrangos atnaujinimo ir specialistų kvalifikacijos kėlimo problema. Neturint naujausios įrangos sunku gauti reikiamus duomenis, tinkamai juos perduoti ir palyginti su turimais duomenimis, taip pat užtikrinti perduodamų duomenų tikslumą ir kokybę. Akivaizdu, kad vis dažniau keičiamasi duomenimis su kitomis ES valstybėmis narėmis; pavyzdžiui</w:t>
            </w:r>
            <w:r w:rsidR="006C4E1E">
              <w:rPr>
                <w:color w:val="000000"/>
                <w:lang w:val="lt-LT"/>
              </w:rPr>
              <w:t>,</w:t>
            </w:r>
            <w:r w:rsidR="00003C2A" w:rsidRPr="009201B2">
              <w:rPr>
                <w:color w:val="000000"/>
                <w:lang w:val="lt-LT"/>
              </w:rPr>
              <w:t xml:space="preserve"> </w:t>
            </w:r>
            <w:r w:rsidR="006C4E1E" w:rsidRPr="006C4E1E">
              <w:rPr>
                <w:color w:val="000000"/>
                <w:lang w:val="lt-LT"/>
              </w:rPr>
              <w:t xml:space="preserve">2019 m., palyginti su 2018 m., prašymų keistis daktiloskopiniais duomenimis </w:t>
            </w:r>
            <w:r w:rsidR="006C4E1E">
              <w:rPr>
                <w:color w:val="000000"/>
                <w:lang w:val="lt-LT"/>
              </w:rPr>
              <w:t>pagal PRUM   p</w:t>
            </w:r>
            <w:r w:rsidR="006C4E1E" w:rsidRPr="006C4E1E">
              <w:rPr>
                <w:color w:val="000000"/>
                <w:lang w:val="lt-LT"/>
              </w:rPr>
              <w:t xml:space="preserve">adaugėjo 15 % (iki 25 885), o prašymų keistis DNR duomenimis </w:t>
            </w:r>
            <w:r w:rsidR="006C4E1E">
              <w:rPr>
                <w:color w:val="000000"/>
                <w:lang w:val="lt-LT"/>
              </w:rPr>
              <w:t xml:space="preserve">pagal </w:t>
            </w:r>
            <w:r w:rsidR="006C4E1E" w:rsidRPr="006C4E1E">
              <w:rPr>
                <w:color w:val="000000"/>
                <w:lang w:val="lt-LT"/>
              </w:rPr>
              <w:t xml:space="preserve">PRUM </w:t>
            </w:r>
            <w:r w:rsidR="006C4E1E">
              <w:rPr>
                <w:color w:val="000000"/>
                <w:lang w:val="lt-LT"/>
              </w:rPr>
              <w:t>–</w:t>
            </w:r>
            <w:r w:rsidR="006C4E1E" w:rsidRPr="006C4E1E">
              <w:rPr>
                <w:color w:val="000000"/>
                <w:lang w:val="lt-LT"/>
              </w:rPr>
              <w:t xml:space="preserve"> 17 % (iki 1 736 730). Reikia sukurti arba atnaujinti nacionalines sistemas, skirtas rinkti tokių kategorijų duomenis, kaip DNR, pirštų atspaudai, veido</w:t>
            </w:r>
            <w:r w:rsidR="00092D83">
              <w:rPr>
                <w:color w:val="000000"/>
                <w:lang w:val="lt-LT"/>
              </w:rPr>
              <w:t xml:space="preserve"> atvaizdai</w:t>
            </w:r>
            <w:r w:rsidR="006C4E1E" w:rsidRPr="006C4E1E">
              <w:rPr>
                <w:color w:val="000000"/>
                <w:lang w:val="lt-LT"/>
              </w:rPr>
              <w:t>, biografijos, vairuotojo pažymėjimai, balistiniai, šaunamųjų ginklų ir kt. duomenys</w:t>
            </w:r>
            <w:r w:rsidR="00092D83">
              <w:rPr>
                <w:color w:val="000000"/>
                <w:lang w:val="lt-LT"/>
              </w:rPr>
              <w:t xml:space="preserve">. </w:t>
            </w:r>
            <w:r w:rsidR="00092D83" w:rsidRPr="00092D83">
              <w:rPr>
                <w:color w:val="000000"/>
                <w:lang w:val="lt-LT"/>
              </w:rPr>
              <w:t>Atnaujintos nacionalinės sistemos leistų sklandžiai pereiti prie naujos kartos Pr</w:t>
            </w:r>
            <w:r w:rsidR="00092D83">
              <w:rPr>
                <w:color w:val="000000"/>
                <w:lang w:val="lt-LT"/>
              </w:rPr>
              <w:t>iumo sprendimų</w:t>
            </w:r>
            <w:r w:rsidR="00092D83" w:rsidRPr="00092D83">
              <w:rPr>
                <w:color w:val="000000"/>
                <w:lang w:val="lt-LT"/>
              </w:rPr>
              <w:t xml:space="preserve"> įgyvendinimo tiek nacionaliniu, tiek ES lygmeniu. </w:t>
            </w:r>
          </w:p>
          <w:p w14:paraId="02A54C00" w14:textId="77777777" w:rsidR="00A77B3E" w:rsidRPr="009201B2" w:rsidRDefault="00A77B3E" w:rsidP="004A5EA0">
            <w:pPr>
              <w:spacing w:before="100"/>
              <w:jc w:val="both"/>
              <w:rPr>
                <w:color w:val="000000"/>
                <w:lang w:val="lt-LT"/>
              </w:rPr>
            </w:pPr>
          </w:p>
          <w:p w14:paraId="1A615804" w14:textId="07EB1671" w:rsidR="00A77B3E" w:rsidRPr="009201B2" w:rsidRDefault="00092D83" w:rsidP="004A5EA0">
            <w:pPr>
              <w:spacing w:before="100"/>
              <w:jc w:val="both"/>
              <w:rPr>
                <w:color w:val="000000"/>
                <w:lang w:val="lt-LT"/>
              </w:rPr>
            </w:pPr>
            <w:r w:rsidRPr="00092D83">
              <w:rPr>
                <w:color w:val="000000"/>
                <w:lang w:val="lt-LT"/>
              </w:rPr>
              <w:t>2014</w:t>
            </w:r>
            <w:r w:rsidR="00180511">
              <w:rPr>
                <w:color w:val="000000"/>
                <w:lang w:val="lt-LT"/>
              </w:rPr>
              <w:t>–</w:t>
            </w:r>
            <w:r w:rsidRPr="00092D83">
              <w:rPr>
                <w:color w:val="000000"/>
                <w:lang w:val="lt-LT"/>
              </w:rPr>
              <w:t>2020 m. programavimo laikotarpiu diegiamos didelės apimties ES IS ir atitinkamai nacionalinės IS bei IT priemonės, susijusios su vidaus saugumu ir skirtos keistis informacija tarp teisėsaugos institucijų tiek ES viduje, tiek su kitomis ES kompetentingomis institucijomis (pri</w:t>
            </w:r>
            <w:r>
              <w:rPr>
                <w:color w:val="000000"/>
                <w:lang w:val="lt-LT"/>
              </w:rPr>
              <w:t>si</w:t>
            </w:r>
            <w:r w:rsidRPr="00092D83">
              <w:rPr>
                <w:color w:val="000000"/>
                <w:lang w:val="lt-LT"/>
              </w:rPr>
              <w:t xml:space="preserve">jungta prie ECRIS, kuriamas nacionalinis ECRIS-TCN modulis, visos ikiteisminio tyrimo įstaigos, prokuratūros ir teismai naudojasi Integruota baudžiamojo proceso informacine sistema (IBPS), sukurta nacionalinė </w:t>
            </w:r>
            <w:r w:rsidR="00EB31E3">
              <w:rPr>
                <w:color w:val="000000"/>
                <w:lang w:val="lt-LT"/>
              </w:rPr>
              <w:t>keleivių duomenų įrašų (angl</w:t>
            </w:r>
            <w:r w:rsidR="00EB31E3" w:rsidRPr="00EB31E3">
              <w:rPr>
                <w:color w:val="000000"/>
                <w:lang w:val="lt-LT"/>
              </w:rPr>
              <w:t xml:space="preserve">. </w:t>
            </w:r>
            <w:r w:rsidRPr="00EB31E3">
              <w:rPr>
                <w:color w:val="000000"/>
                <w:lang w:val="lt-LT"/>
              </w:rPr>
              <w:t>PNR</w:t>
            </w:r>
            <w:r w:rsidR="00EB31E3" w:rsidRPr="00EB31E3">
              <w:rPr>
                <w:color w:val="000000"/>
                <w:lang w:val="lt-LT"/>
              </w:rPr>
              <w:t>)</w:t>
            </w:r>
            <w:r w:rsidRPr="00EB31E3">
              <w:rPr>
                <w:color w:val="000000"/>
                <w:lang w:val="lt-LT"/>
              </w:rPr>
              <w:t xml:space="preserve"> ir </w:t>
            </w:r>
            <w:r w:rsidR="00EB31E3" w:rsidRPr="00EB31E3">
              <w:rPr>
                <w:color w:val="000000"/>
                <w:lang w:val="lt-LT"/>
              </w:rPr>
              <w:t xml:space="preserve">išankstinių duomenų apie keleivius (angl. </w:t>
            </w:r>
            <w:r w:rsidRPr="00EB31E3">
              <w:rPr>
                <w:color w:val="000000"/>
                <w:lang w:val="lt-LT"/>
              </w:rPr>
              <w:t>API</w:t>
            </w:r>
            <w:r w:rsidR="00EB31E3" w:rsidRPr="00EB31E3">
              <w:rPr>
                <w:color w:val="000000"/>
                <w:lang w:val="lt-LT"/>
              </w:rPr>
              <w:t xml:space="preserve">) </w:t>
            </w:r>
            <w:r w:rsidRPr="00EB31E3">
              <w:rPr>
                <w:color w:val="000000"/>
                <w:lang w:val="lt-LT"/>
              </w:rPr>
              <w:t>tvarkymo sistema, naudojamasi Ginklų registru, kuriama programinė priemonė „Universali duomenų paieškos sistema</w:t>
            </w:r>
            <w:r w:rsidRPr="00092D83">
              <w:rPr>
                <w:color w:val="000000"/>
                <w:lang w:val="lt-LT"/>
              </w:rPr>
              <w:t xml:space="preserve"> teisėsaugos institucijoms</w:t>
            </w:r>
            <w:r>
              <w:rPr>
                <w:color w:val="000000"/>
                <w:lang w:val="lt-LT"/>
              </w:rPr>
              <w:t>“</w:t>
            </w:r>
            <w:r w:rsidRPr="00092D83">
              <w:rPr>
                <w:color w:val="000000"/>
                <w:lang w:val="lt-LT"/>
              </w:rPr>
              <w:t xml:space="preserve">. Pasikeitus politinei pozicijai dėl sistemingo pirštų atspaudų naudojimo saugiam identifikavimui ir požiūriui į dalijimąsi duomenimis bei saugumą, daugiausia dėmesio skiriant veiksmingumui ir efektyvumui, taip pat poreikiui išnaudoti skirtingų Europos keitimosi informacija sistemų sinergiją, </w:t>
            </w:r>
            <w:r w:rsidRPr="00092D83">
              <w:rPr>
                <w:color w:val="000000"/>
                <w:lang w:val="lt-LT"/>
              </w:rPr>
              <w:lastRenderedPageBreak/>
              <w:t xml:space="preserve">siekiama sukurti centralizuotą ECRIS-TCN sistemą, kurioje būtų </w:t>
            </w:r>
            <w:r w:rsidR="008416F9">
              <w:rPr>
                <w:color w:val="000000"/>
                <w:lang w:val="lt-LT"/>
              </w:rPr>
              <w:t>tiek</w:t>
            </w:r>
            <w:r w:rsidRPr="00092D83">
              <w:rPr>
                <w:color w:val="000000"/>
                <w:lang w:val="lt-LT"/>
              </w:rPr>
              <w:t xml:space="preserve"> </w:t>
            </w:r>
            <w:r>
              <w:rPr>
                <w:color w:val="000000"/>
                <w:lang w:val="lt-LT"/>
              </w:rPr>
              <w:t xml:space="preserve">pirštų antspaudų, tiek kita </w:t>
            </w:r>
            <w:r w:rsidRPr="00092D83">
              <w:rPr>
                <w:color w:val="000000"/>
                <w:lang w:val="lt-LT"/>
              </w:rPr>
              <w:t>tapatybės informacija apie trečiųjų šalių piliečius</w:t>
            </w:r>
            <w:r w:rsidR="008416F9">
              <w:rPr>
                <w:color w:val="000000"/>
                <w:lang w:val="lt-LT"/>
              </w:rPr>
              <w:t xml:space="preserve"> ir </w:t>
            </w:r>
            <w:r w:rsidRPr="00092D83">
              <w:rPr>
                <w:color w:val="000000"/>
                <w:lang w:val="lt-LT"/>
              </w:rPr>
              <w:t xml:space="preserve">būtų galima sukurti bendrą biometrinių duomenų atitikties paslaugą ir bendrą tapatybės duomenų saugyklą, skirtą IS sąveikai užtikrinti. Sukūrus ECRIS-TCN, </w:t>
            </w:r>
            <w:r w:rsidR="008416F9" w:rsidRPr="00092D83">
              <w:rPr>
                <w:color w:val="000000"/>
                <w:lang w:val="lt-LT"/>
              </w:rPr>
              <w:t xml:space="preserve">turi būti išplėsta </w:t>
            </w:r>
            <w:r w:rsidRPr="00092D83">
              <w:rPr>
                <w:color w:val="000000"/>
                <w:lang w:val="lt-LT"/>
              </w:rPr>
              <w:t xml:space="preserve">teisėsaugos institucijų prieiga prie ECRIS ir ECRIS-TCN, </w:t>
            </w:r>
            <w:r w:rsidR="008416F9">
              <w:rPr>
                <w:color w:val="000000"/>
                <w:lang w:val="lt-LT"/>
              </w:rPr>
              <w:t xml:space="preserve">kad būtų </w:t>
            </w:r>
            <w:r w:rsidRPr="00092D83">
              <w:rPr>
                <w:color w:val="000000"/>
                <w:lang w:val="lt-LT"/>
              </w:rPr>
              <w:t>užtikrint</w:t>
            </w:r>
            <w:r w:rsidR="008416F9">
              <w:rPr>
                <w:color w:val="000000"/>
                <w:lang w:val="lt-LT"/>
              </w:rPr>
              <w:t>as</w:t>
            </w:r>
            <w:r w:rsidRPr="00092D83">
              <w:rPr>
                <w:color w:val="000000"/>
                <w:lang w:val="lt-LT"/>
              </w:rPr>
              <w:t xml:space="preserve"> nacionalin</w:t>
            </w:r>
            <w:r w:rsidR="008416F9">
              <w:rPr>
                <w:color w:val="000000"/>
                <w:lang w:val="lt-LT"/>
              </w:rPr>
              <w:t>is</w:t>
            </w:r>
            <w:r w:rsidRPr="00092D83">
              <w:rPr>
                <w:color w:val="000000"/>
                <w:lang w:val="lt-LT"/>
              </w:rPr>
              <w:t xml:space="preserve"> saugum</w:t>
            </w:r>
            <w:r w:rsidR="008416F9">
              <w:rPr>
                <w:color w:val="000000"/>
                <w:lang w:val="lt-LT"/>
              </w:rPr>
              <w:t xml:space="preserve">as ir </w:t>
            </w:r>
            <w:r w:rsidRPr="00092D83">
              <w:rPr>
                <w:color w:val="000000"/>
                <w:lang w:val="lt-LT"/>
              </w:rPr>
              <w:t>sustiprintas keitimasis informacija su ES teisėsaugos institucijomis ir kitomis kompetentingomis institucijomis kovoj</w:t>
            </w:r>
            <w:r w:rsidR="008416F9">
              <w:rPr>
                <w:color w:val="000000"/>
                <w:lang w:val="lt-LT"/>
              </w:rPr>
              <w:t>e</w:t>
            </w:r>
            <w:r w:rsidRPr="00092D83">
              <w:rPr>
                <w:color w:val="000000"/>
                <w:lang w:val="lt-LT"/>
              </w:rPr>
              <w:t xml:space="preserve"> su nusikalstamumu ir terorizmu, naudojantis bendra teisėsaugos institucijų paieškos sąsaja (ESP) ir automatiniu duomenų tikrinimu pagal Reglamentą 2019/818.</w:t>
            </w:r>
          </w:p>
          <w:p w14:paraId="237A5043" w14:textId="77777777" w:rsidR="00A77B3E" w:rsidRPr="009201B2" w:rsidRDefault="00A77B3E" w:rsidP="004A5EA0">
            <w:pPr>
              <w:spacing w:before="100"/>
              <w:jc w:val="both"/>
              <w:rPr>
                <w:color w:val="000000"/>
                <w:lang w:val="lt-LT"/>
              </w:rPr>
            </w:pPr>
          </w:p>
          <w:p w14:paraId="2665DD92" w14:textId="1CBF5270" w:rsidR="00A77B3E" w:rsidRPr="009201B2" w:rsidRDefault="00092D83" w:rsidP="004A5EA0">
            <w:pPr>
              <w:spacing w:before="100"/>
              <w:jc w:val="both"/>
              <w:rPr>
                <w:color w:val="000000"/>
                <w:lang w:val="lt-LT"/>
              </w:rPr>
            </w:pPr>
            <w:r>
              <w:rPr>
                <w:color w:val="000000"/>
                <w:lang w:val="lt-LT"/>
              </w:rPr>
              <w:t>Naudojantis</w:t>
            </w:r>
            <w:r w:rsidRPr="00092D83">
              <w:rPr>
                <w:color w:val="000000"/>
                <w:lang w:val="lt-LT"/>
              </w:rPr>
              <w:t xml:space="preserve"> ES finansavimo priemonėmis, 2016 m. L</w:t>
            </w:r>
            <w:r>
              <w:rPr>
                <w:color w:val="000000"/>
                <w:lang w:val="lt-LT"/>
              </w:rPr>
              <w:t>ietuvoje</w:t>
            </w:r>
            <w:r w:rsidRPr="00092D83">
              <w:rPr>
                <w:color w:val="000000"/>
                <w:lang w:val="lt-LT"/>
              </w:rPr>
              <w:t xml:space="preserve"> pradėta naudoti IBPS, kurios tikslas </w:t>
            </w:r>
            <w:r>
              <w:rPr>
                <w:color w:val="000000"/>
                <w:lang w:val="lt-LT"/>
              </w:rPr>
              <w:t>–</w:t>
            </w:r>
            <w:r w:rsidRPr="00092D83">
              <w:rPr>
                <w:color w:val="000000"/>
                <w:lang w:val="lt-LT"/>
              </w:rPr>
              <w:t xml:space="preserve"> keistis baudžiamojo proceso duomenimis tarp ikiteisminio tyrimo įstaigų, prokuratūrų ir teismų, informacinių technologijų priemonėmis rinkti </w:t>
            </w:r>
            <w:r w:rsidR="00736564">
              <w:rPr>
                <w:color w:val="000000"/>
                <w:lang w:val="lt-LT"/>
              </w:rPr>
              <w:t xml:space="preserve">duomenis </w:t>
            </w:r>
            <w:r w:rsidRPr="00092D83">
              <w:rPr>
                <w:color w:val="000000"/>
                <w:lang w:val="lt-LT"/>
              </w:rPr>
              <w:t>apie veiksmus ir procedūras baudžiamajame procese</w:t>
            </w:r>
            <w:r w:rsidR="00736564">
              <w:rPr>
                <w:color w:val="000000"/>
                <w:lang w:val="lt-LT"/>
              </w:rPr>
              <w:t xml:space="preserve"> ir jais keistis</w:t>
            </w:r>
            <w:r w:rsidRPr="00092D83">
              <w:rPr>
                <w:color w:val="000000"/>
                <w:lang w:val="lt-LT"/>
              </w:rPr>
              <w:t xml:space="preserve">, taip pat </w:t>
            </w:r>
            <w:r w:rsidR="00736564">
              <w:rPr>
                <w:color w:val="000000"/>
                <w:lang w:val="lt-LT"/>
              </w:rPr>
              <w:t xml:space="preserve">rinkti </w:t>
            </w:r>
            <w:r w:rsidRPr="00092D83">
              <w:rPr>
                <w:color w:val="000000"/>
                <w:lang w:val="lt-LT"/>
              </w:rPr>
              <w:t>teisinę įrodomąją reikšmę turinči</w:t>
            </w:r>
            <w:r w:rsidR="00736564">
              <w:rPr>
                <w:color w:val="000000"/>
                <w:lang w:val="lt-LT"/>
              </w:rPr>
              <w:t xml:space="preserve">us </w:t>
            </w:r>
            <w:r w:rsidRPr="00092D83">
              <w:rPr>
                <w:color w:val="000000"/>
                <w:lang w:val="lt-LT"/>
              </w:rPr>
              <w:t>e</w:t>
            </w:r>
            <w:r w:rsidR="0005381C">
              <w:rPr>
                <w:color w:val="000000"/>
                <w:lang w:val="lt-LT"/>
              </w:rPr>
              <w:t>lektronini</w:t>
            </w:r>
            <w:r w:rsidR="00736564">
              <w:rPr>
                <w:color w:val="000000"/>
                <w:lang w:val="lt-LT"/>
              </w:rPr>
              <w:t>us</w:t>
            </w:r>
            <w:r w:rsidRPr="00092D83">
              <w:rPr>
                <w:color w:val="000000"/>
                <w:lang w:val="lt-LT"/>
              </w:rPr>
              <w:t xml:space="preserve"> dokument</w:t>
            </w:r>
            <w:r w:rsidR="00736564">
              <w:rPr>
                <w:color w:val="000000"/>
                <w:lang w:val="lt-LT"/>
              </w:rPr>
              <w:t>us ir jais keistis</w:t>
            </w:r>
            <w:r w:rsidRPr="00092D83">
              <w:rPr>
                <w:color w:val="000000"/>
                <w:lang w:val="lt-LT"/>
              </w:rPr>
              <w:t>. IBP</w:t>
            </w:r>
            <w:r w:rsidR="00736564">
              <w:rPr>
                <w:color w:val="000000"/>
                <w:lang w:val="lt-LT"/>
              </w:rPr>
              <w:t xml:space="preserve"> sistemoje</w:t>
            </w:r>
            <w:r w:rsidRPr="00092D83">
              <w:rPr>
                <w:color w:val="000000"/>
                <w:lang w:val="lt-LT"/>
              </w:rPr>
              <w:t xml:space="preserve"> sukurtas Tarptautinės teisinės pagalbos modulis, skirtas Europos tyrimo orderiui parengti ir perduoti, tačiau neužtikrintas IBPS suderinamumas su Europos prokuratūros bylų valdymo sistema, </w:t>
            </w:r>
            <w:r w:rsidR="00736564">
              <w:rPr>
                <w:color w:val="000000"/>
                <w:lang w:val="lt-LT"/>
              </w:rPr>
              <w:t>tad nėra</w:t>
            </w:r>
            <w:r w:rsidRPr="00092D83">
              <w:rPr>
                <w:color w:val="000000"/>
                <w:lang w:val="lt-LT"/>
              </w:rPr>
              <w:t xml:space="preserve"> sistem</w:t>
            </w:r>
            <w:r w:rsidR="00736564">
              <w:rPr>
                <w:color w:val="000000"/>
                <w:lang w:val="lt-LT"/>
              </w:rPr>
              <w:t>os</w:t>
            </w:r>
            <w:r w:rsidRPr="00092D83">
              <w:rPr>
                <w:color w:val="000000"/>
                <w:lang w:val="lt-LT"/>
              </w:rPr>
              <w:t xml:space="preserve">, </w:t>
            </w:r>
            <w:r w:rsidR="00736564">
              <w:rPr>
                <w:color w:val="000000"/>
                <w:lang w:val="lt-LT"/>
              </w:rPr>
              <w:t>kuri leistų</w:t>
            </w:r>
            <w:r w:rsidRPr="00092D83">
              <w:rPr>
                <w:color w:val="000000"/>
                <w:lang w:val="lt-LT"/>
              </w:rPr>
              <w:t xml:space="preserve"> Europos prokuratūros kompetencijai priskirti ES finansiniams interesams kenkiančias nusikalstamas veik</w:t>
            </w:r>
            <w:r w:rsidR="0005381C">
              <w:rPr>
                <w:color w:val="000000"/>
                <w:lang w:val="lt-LT"/>
              </w:rPr>
              <w:t xml:space="preserve">as; </w:t>
            </w:r>
            <w:r w:rsidR="0005381C" w:rsidRPr="0005381C">
              <w:rPr>
                <w:color w:val="000000"/>
                <w:lang w:val="lt-LT"/>
              </w:rPr>
              <w:t>be to, IBPS turėtų būti naudojama bendra teisėsaugos institucijų paieškos sąsaja (ESP) ir automatinis duomenų tikrinimas pagal Reglamentą 2019/818.</w:t>
            </w:r>
          </w:p>
          <w:p w14:paraId="2CF1F964" w14:textId="77777777" w:rsidR="00A77B3E" w:rsidRPr="009201B2" w:rsidRDefault="00A77B3E" w:rsidP="004A5EA0">
            <w:pPr>
              <w:spacing w:before="100"/>
              <w:jc w:val="both"/>
              <w:rPr>
                <w:color w:val="000000"/>
                <w:lang w:val="lt-LT"/>
              </w:rPr>
            </w:pPr>
          </w:p>
          <w:p w14:paraId="59F93284" w14:textId="0D98437B" w:rsidR="00A77B3E" w:rsidRPr="009201B2" w:rsidRDefault="00EC0586" w:rsidP="004A5EA0">
            <w:pPr>
              <w:spacing w:before="100"/>
              <w:jc w:val="both"/>
              <w:rPr>
                <w:color w:val="000000"/>
                <w:lang w:val="lt-LT"/>
              </w:rPr>
            </w:pPr>
            <w:r w:rsidRPr="00EC0586">
              <w:rPr>
                <w:color w:val="000000"/>
                <w:lang w:val="lt-LT"/>
              </w:rPr>
              <w:t>2014</w:t>
            </w:r>
            <w:r>
              <w:rPr>
                <w:color w:val="000000"/>
                <w:lang w:val="lt-LT"/>
              </w:rPr>
              <w:t>–</w:t>
            </w:r>
            <w:r w:rsidRPr="00EC0586">
              <w:rPr>
                <w:color w:val="000000"/>
                <w:lang w:val="lt-LT"/>
              </w:rPr>
              <w:t>2020 m. programavimo laikotarpiu pradėta kurti bendra duomenų paieškos sistema, tinkama naudoti nacionalinėms teisėsaugos institucijoms</w:t>
            </w:r>
            <w:r>
              <w:rPr>
                <w:color w:val="000000"/>
                <w:lang w:val="lt-LT"/>
              </w:rPr>
              <w:t xml:space="preserve">. Ji </w:t>
            </w:r>
            <w:r w:rsidRPr="00EC0586">
              <w:rPr>
                <w:color w:val="000000"/>
                <w:lang w:val="lt-LT"/>
              </w:rPr>
              <w:t xml:space="preserve">suteikia galimybę </w:t>
            </w:r>
            <w:r w:rsidR="00274FB4" w:rsidRPr="00EC0586">
              <w:rPr>
                <w:color w:val="000000"/>
                <w:lang w:val="lt-LT"/>
              </w:rPr>
              <w:t>pateik</w:t>
            </w:r>
            <w:r w:rsidR="00274FB4">
              <w:rPr>
                <w:color w:val="000000"/>
                <w:lang w:val="lt-LT"/>
              </w:rPr>
              <w:t>ti</w:t>
            </w:r>
            <w:r w:rsidR="00274FB4" w:rsidRPr="00EC0586">
              <w:rPr>
                <w:color w:val="000000"/>
                <w:lang w:val="lt-LT"/>
              </w:rPr>
              <w:t xml:space="preserve"> vieną duomenų užklausą</w:t>
            </w:r>
            <w:r w:rsidR="00274FB4">
              <w:rPr>
                <w:color w:val="000000"/>
                <w:lang w:val="lt-LT"/>
              </w:rPr>
              <w:t xml:space="preserve"> ir </w:t>
            </w:r>
            <w:r w:rsidRPr="00EC0586">
              <w:rPr>
                <w:color w:val="000000"/>
                <w:lang w:val="lt-LT"/>
              </w:rPr>
              <w:t xml:space="preserve">vienu metu duomenų paiešką </w:t>
            </w:r>
            <w:r w:rsidR="00274FB4" w:rsidRPr="00EC0586">
              <w:rPr>
                <w:color w:val="000000"/>
                <w:lang w:val="lt-LT"/>
              </w:rPr>
              <w:t xml:space="preserve">atlikti </w:t>
            </w:r>
            <w:r w:rsidRPr="00EC0586">
              <w:rPr>
                <w:color w:val="000000"/>
                <w:lang w:val="lt-LT"/>
              </w:rPr>
              <w:t xml:space="preserve">įvairiose nacionalinėse IS ir registruose </w:t>
            </w:r>
            <w:r w:rsidR="00274FB4">
              <w:rPr>
                <w:color w:val="000000"/>
                <w:lang w:val="lt-LT"/>
              </w:rPr>
              <w:t>bei suteikia</w:t>
            </w:r>
            <w:r w:rsidRPr="00EC0586">
              <w:rPr>
                <w:color w:val="000000"/>
                <w:lang w:val="lt-LT"/>
              </w:rPr>
              <w:t xml:space="preserve"> prieigą prie duomenų iš ES IS duomenų bazių, įskaitant </w:t>
            </w:r>
            <w:r>
              <w:rPr>
                <w:color w:val="000000"/>
                <w:lang w:val="lt-LT"/>
              </w:rPr>
              <w:t>Šengeno informacinę sistemą (</w:t>
            </w:r>
            <w:r w:rsidR="00A5077E">
              <w:rPr>
                <w:color w:val="000000"/>
                <w:lang w:val="lt-LT"/>
              </w:rPr>
              <w:t xml:space="preserve">angl. </w:t>
            </w:r>
            <w:r w:rsidRPr="00EC0586">
              <w:rPr>
                <w:color w:val="000000"/>
                <w:lang w:val="lt-LT"/>
              </w:rPr>
              <w:t>SIS</w:t>
            </w:r>
            <w:r>
              <w:rPr>
                <w:color w:val="000000"/>
                <w:lang w:val="lt-LT"/>
              </w:rPr>
              <w:t>)</w:t>
            </w:r>
            <w:r w:rsidRPr="00EC0586">
              <w:rPr>
                <w:color w:val="000000"/>
                <w:lang w:val="lt-LT"/>
              </w:rPr>
              <w:t xml:space="preserve"> II, </w:t>
            </w:r>
            <w:r>
              <w:rPr>
                <w:color w:val="000000"/>
                <w:lang w:val="lt-LT"/>
              </w:rPr>
              <w:t>Vizų informacinę sistemą (</w:t>
            </w:r>
            <w:r w:rsidRPr="00EC0586">
              <w:rPr>
                <w:color w:val="000000"/>
                <w:lang w:val="lt-LT"/>
              </w:rPr>
              <w:t>VIS</w:t>
            </w:r>
            <w:r>
              <w:rPr>
                <w:color w:val="000000"/>
                <w:lang w:val="lt-LT"/>
              </w:rPr>
              <w:t>)</w:t>
            </w:r>
            <w:r w:rsidRPr="00EC0586">
              <w:rPr>
                <w:color w:val="000000"/>
                <w:lang w:val="lt-LT"/>
              </w:rPr>
              <w:t xml:space="preserve">, </w:t>
            </w:r>
            <w:r>
              <w:rPr>
                <w:color w:val="000000"/>
                <w:lang w:val="lt-LT"/>
              </w:rPr>
              <w:t>atvykimo ir išvykimo sistemą (AIS)</w:t>
            </w:r>
            <w:r w:rsidRPr="00EC0586">
              <w:rPr>
                <w:color w:val="000000"/>
                <w:lang w:val="lt-LT"/>
              </w:rPr>
              <w:t xml:space="preserve">, </w:t>
            </w:r>
            <w:r>
              <w:rPr>
                <w:color w:val="000000"/>
                <w:lang w:val="lt-LT"/>
              </w:rPr>
              <w:t>Europos kelionių ir leidimų išdavimo sistemą (</w:t>
            </w:r>
            <w:r w:rsidRPr="00EC0586">
              <w:rPr>
                <w:color w:val="000000"/>
                <w:lang w:val="lt-LT"/>
              </w:rPr>
              <w:t>ETIAS</w:t>
            </w:r>
            <w:r>
              <w:rPr>
                <w:color w:val="000000"/>
                <w:lang w:val="lt-LT"/>
              </w:rPr>
              <w:t>)</w:t>
            </w:r>
            <w:r w:rsidRPr="00EC0586">
              <w:rPr>
                <w:color w:val="000000"/>
                <w:lang w:val="lt-LT"/>
              </w:rPr>
              <w:t xml:space="preserve">, Interpolo generalinio sekretoriato ir kt. Sukurta ir įdiegta paieškos sistema turi užtikrinti, kad policijos pareigūnai, sienos apsaugos pareigūnai ir kitų teisėsaugos institucijų pareigūnai </w:t>
            </w:r>
            <w:r>
              <w:rPr>
                <w:color w:val="000000"/>
                <w:lang w:val="lt-LT"/>
              </w:rPr>
              <w:t>galėtų lengvai naudotis v</w:t>
            </w:r>
            <w:r w:rsidRPr="00EC0586">
              <w:rPr>
                <w:color w:val="000000"/>
                <w:lang w:val="lt-LT"/>
              </w:rPr>
              <w:t>is</w:t>
            </w:r>
            <w:r>
              <w:rPr>
                <w:color w:val="000000"/>
                <w:lang w:val="lt-LT"/>
              </w:rPr>
              <w:t xml:space="preserve">a </w:t>
            </w:r>
            <w:r w:rsidRPr="00EC0586">
              <w:rPr>
                <w:color w:val="000000"/>
                <w:lang w:val="lt-LT"/>
              </w:rPr>
              <w:t>būtin</w:t>
            </w:r>
            <w:r>
              <w:rPr>
                <w:color w:val="000000"/>
                <w:lang w:val="lt-LT"/>
              </w:rPr>
              <w:t>a</w:t>
            </w:r>
            <w:r w:rsidRPr="00EC0586">
              <w:rPr>
                <w:color w:val="000000"/>
                <w:lang w:val="lt-LT"/>
              </w:rPr>
              <w:t xml:space="preserve"> informacij</w:t>
            </w:r>
            <w:r>
              <w:rPr>
                <w:color w:val="000000"/>
                <w:lang w:val="lt-LT"/>
              </w:rPr>
              <w:t xml:space="preserve">a, </w:t>
            </w:r>
            <w:r w:rsidRPr="00EC0586">
              <w:rPr>
                <w:color w:val="000000"/>
                <w:lang w:val="lt-LT"/>
              </w:rPr>
              <w:t>reikaling</w:t>
            </w:r>
            <w:r>
              <w:rPr>
                <w:color w:val="000000"/>
                <w:lang w:val="lt-LT"/>
              </w:rPr>
              <w:t>a</w:t>
            </w:r>
            <w:r w:rsidRPr="00EC0586">
              <w:rPr>
                <w:color w:val="000000"/>
                <w:lang w:val="lt-LT"/>
              </w:rPr>
              <w:t xml:space="preserve"> nusikaltimų ar kitų sunkių nusikaltimų prevencijos, atskleidimo ir tyrimo bei sienų saugumo tikslais. Bendros duomenų paieškos sistemos turi būti tobulinamos atsižvelgiant į Šengeno policijos bendradarbiavimo vertinimus, o visos būtinos nacionalinės IS ir registrai turi būti integruoti į nacionalinę bendrąją paieškos sistemą pagal teisėsaugos institucijų poreikius.</w:t>
            </w:r>
            <w:r>
              <w:rPr>
                <w:color w:val="000000"/>
                <w:lang w:val="lt-LT"/>
              </w:rPr>
              <w:t xml:space="preserve"> </w:t>
            </w:r>
          </w:p>
          <w:p w14:paraId="4813CCD7" w14:textId="77777777" w:rsidR="00A77B3E" w:rsidRPr="009201B2" w:rsidRDefault="00A77B3E" w:rsidP="004A5EA0">
            <w:pPr>
              <w:spacing w:before="100"/>
              <w:jc w:val="both"/>
              <w:rPr>
                <w:color w:val="000000"/>
                <w:lang w:val="lt-LT"/>
              </w:rPr>
            </w:pPr>
          </w:p>
          <w:p w14:paraId="3AA63A9C" w14:textId="36DEB0A6" w:rsidR="00A77B3E" w:rsidRPr="009201B2" w:rsidRDefault="00A5077E" w:rsidP="004A5EA0">
            <w:pPr>
              <w:spacing w:before="100"/>
              <w:jc w:val="both"/>
              <w:rPr>
                <w:color w:val="000000"/>
                <w:lang w:val="lt-LT"/>
              </w:rPr>
            </w:pPr>
            <w:r w:rsidRPr="00A5077E">
              <w:rPr>
                <w:color w:val="000000"/>
                <w:lang w:val="lt-LT"/>
              </w:rPr>
              <w:t xml:space="preserve">Duomenys apie A, B, C kategorijų ginklus Lietuvoje kaupiami Ginklų registre, kurio </w:t>
            </w:r>
            <w:r>
              <w:rPr>
                <w:color w:val="000000"/>
                <w:lang w:val="lt-LT"/>
              </w:rPr>
              <w:t xml:space="preserve">2012 m. sukurta </w:t>
            </w:r>
            <w:r w:rsidRPr="00A5077E">
              <w:rPr>
                <w:color w:val="000000"/>
                <w:lang w:val="lt-LT"/>
              </w:rPr>
              <w:t>programinė įranga</w:t>
            </w:r>
            <w:r>
              <w:rPr>
                <w:color w:val="000000"/>
                <w:lang w:val="lt-LT"/>
              </w:rPr>
              <w:t xml:space="preserve"> </w:t>
            </w:r>
            <w:r w:rsidRPr="00A5077E">
              <w:rPr>
                <w:color w:val="000000"/>
                <w:lang w:val="lt-LT"/>
              </w:rPr>
              <w:t xml:space="preserve">yra pasenusi ir neatitinka nacionalinių kompetentingų institucijų keitimosi informacija poreikių, todėl siekiant pagerinti valstybių narių keitimąsi informacija apie šaunamųjų ginklų paiešką ir identifikavimą, būtina išanalizuoti turimą informaciją apie neteisėtai laikomus šaunamuosius ginklus, užtikrinti sąveiką su kitomis nacionalinėmis IS, kuriose kaupiama informacija, susijusi su prekyba šaunamaisiais ginklais, ieškomais ir rastais šaunamaisiais ginklais, taip pat </w:t>
            </w:r>
            <w:r w:rsidR="00274FB4">
              <w:rPr>
                <w:color w:val="000000"/>
                <w:lang w:val="lt-LT"/>
              </w:rPr>
              <w:t xml:space="preserve">reikia </w:t>
            </w:r>
            <w:r w:rsidRPr="00A5077E">
              <w:rPr>
                <w:color w:val="000000"/>
                <w:lang w:val="lt-LT"/>
              </w:rPr>
              <w:t>atnaujinti Ginklų registro programinę įrangą.</w:t>
            </w:r>
          </w:p>
          <w:p w14:paraId="162338BC" w14:textId="77777777" w:rsidR="00A77B3E" w:rsidRPr="009201B2" w:rsidRDefault="00A77B3E" w:rsidP="004A5EA0">
            <w:pPr>
              <w:spacing w:before="100"/>
              <w:jc w:val="both"/>
              <w:rPr>
                <w:color w:val="000000"/>
                <w:lang w:val="lt-LT"/>
              </w:rPr>
            </w:pPr>
          </w:p>
          <w:p w14:paraId="60443167" w14:textId="4D7F3BC5" w:rsidR="00A77B3E" w:rsidRPr="009201B2" w:rsidRDefault="00A5077E" w:rsidP="004A5EA0">
            <w:pPr>
              <w:spacing w:before="100"/>
              <w:jc w:val="both"/>
              <w:rPr>
                <w:color w:val="000000"/>
                <w:lang w:val="lt-LT"/>
              </w:rPr>
            </w:pPr>
            <w:r>
              <w:rPr>
                <w:color w:val="000000"/>
                <w:lang w:val="lt-LT"/>
              </w:rPr>
              <w:t>Į</w:t>
            </w:r>
            <w:r w:rsidRPr="00A5077E">
              <w:rPr>
                <w:color w:val="000000"/>
                <w:lang w:val="lt-LT"/>
              </w:rPr>
              <w:t>gyvendindamos ES nusikalstamumo prevencijos ir kovos su juo politikos pokyčius, ypač kovojant su tarpvalstybiniu nusikalstamumu, teisėsaugos institucijos per praėjusį finansinį laikotarpį įdiegė automatines transporto priemonių registracijos numerių identifikavimo sistemas ir Habitoskopinių duomenų registro (HDR) asmens veido biometrinio identifikavimo posistemę, todėl pagerėjo asmens veido biometrinio identifikavimo tikslumas ir veiksmingumas. Įdiegtais IT sprendimais sprendžiamos vietinės problemos, tačiau priemonės nėra nukreiptos į bendras ES operacijas, todėl būtina gerinti muitinės, policijos ir Valstybės sienos apsaugos tarnybos bendradarbiavimą šiose srityse: bendroji infrastruktūra, dalijimasis informacija ir rizikos analizė. Siūloma integruoti Lietuvos nacionalinę SIS II su automatinio numerio ženklų atpažinimo sistemomis (</w:t>
            </w:r>
            <w:r>
              <w:rPr>
                <w:color w:val="000000"/>
                <w:lang w:val="lt-LT"/>
              </w:rPr>
              <w:t xml:space="preserve">angl. </w:t>
            </w:r>
            <w:r w:rsidRPr="00A5077E">
              <w:rPr>
                <w:color w:val="000000"/>
                <w:lang w:val="lt-LT"/>
              </w:rPr>
              <w:t>ANPR) (policijos, muitinės, Valstyb</w:t>
            </w:r>
            <w:r>
              <w:rPr>
                <w:color w:val="000000"/>
                <w:lang w:val="lt-LT"/>
              </w:rPr>
              <w:t xml:space="preserve">ės </w:t>
            </w:r>
            <w:r w:rsidRPr="00A5077E">
              <w:rPr>
                <w:color w:val="000000"/>
                <w:lang w:val="lt-LT"/>
              </w:rPr>
              <w:t xml:space="preserve">sienos apsaugos tarnybos, Lietuvos automobilių kelių direkcijos ir kitomis ANPR sistemomis). ANPR sistemos ir veido biometrinio identifikavimo sprendimai turėtų būti naudojami bendroje sistemoje teisėsaugos tikslais vykdant bendras ES operacijas, atliekant rizikos / grėsmės analizę, kai pažeidimo fiksavimo prietaisais užfiksuotas transporto priemonės valstybinis numeris būtų lyginamas su SIS II ir nacionaliniais ieškomų transporto priemonių </w:t>
            </w:r>
            <w:r>
              <w:rPr>
                <w:color w:val="000000"/>
                <w:lang w:val="lt-LT"/>
              </w:rPr>
              <w:t xml:space="preserve">duomenų rinkiniais </w:t>
            </w:r>
            <w:r w:rsidRPr="00A5077E">
              <w:rPr>
                <w:color w:val="000000"/>
                <w:lang w:val="lt-LT"/>
              </w:rPr>
              <w:t xml:space="preserve">(Ieškomų transporto priemonių registras), o asmens </w:t>
            </w:r>
            <w:r w:rsidRPr="00A5077E">
              <w:rPr>
                <w:color w:val="000000"/>
                <w:lang w:val="lt-LT"/>
              </w:rPr>
              <w:lastRenderedPageBreak/>
              <w:t xml:space="preserve">veido atvaizdas lyginamas su HDR surinktais asmens biometriniais duomenimis, ir, jei duomenys sutaptų su nustatytais grėsmės algoritmais, </w:t>
            </w:r>
            <w:r w:rsidR="00274FB4" w:rsidRPr="00A5077E">
              <w:rPr>
                <w:color w:val="000000"/>
                <w:lang w:val="lt-LT"/>
              </w:rPr>
              <w:t xml:space="preserve">atitinkamai </w:t>
            </w:r>
            <w:r w:rsidRPr="00A5077E">
              <w:rPr>
                <w:color w:val="000000"/>
                <w:lang w:val="lt-LT"/>
              </w:rPr>
              <w:t xml:space="preserve">nedelsiant </w:t>
            </w:r>
            <w:r w:rsidR="00274FB4" w:rsidRPr="00A5077E">
              <w:rPr>
                <w:color w:val="000000"/>
                <w:lang w:val="lt-LT"/>
              </w:rPr>
              <w:t xml:space="preserve">būtų </w:t>
            </w:r>
            <w:r w:rsidRPr="00A5077E">
              <w:rPr>
                <w:color w:val="000000"/>
                <w:lang w:val="lt-LT"/>
              </w:rPr>
              <w:t>informuojama policija, muitinė ir Valstybės sienos apsaugos tarnyba.</w:t>
            </w:r>
            <w:r>
              <w:rPr>
                <w:color w:val="000000"/>
                <w:lang w:val="lt-LT"/>
              </w:rPr>
              <w:t xml:space="preserve"> </w:t>
            </w:r>
          </w:p>
          <w:p w14:paraId="33282398" w14:textId="77777777" w:rsidR="00A77B3E" w:rsidRPr="009201B2" w:rsidRDefault="00A77B3E" w:rsidP="004A5EA0">
            <w:pPr>
              <w:spacing w:before="100"/>
              <w:jc w:val="both"/>
              <w:rPr>
                <w:color w:val="000000"/>
                <w:lang w:val="lt-LT"/>
              </w:rPr>
            </w:pPr>
          </w:p>
          <w:p w14:paraId="25EA5CA1" w14:textId="1D14D14A" w:rsidR="00A77B3E" w:rsidRPr="009201B2" w:rsidRDefault="00A5077E" w:rsidP="004A5EA0">
            <w:pPr>
              <w:spacing w:before="100"/>
              <w:jc w:val="both"/>
              <w:rPr>
                <w:color w:val="000000"/>
                <w:lang w:val="lt-LT"/>
              </w:rPr>
            </w:pPr>
            <w:r w:rsidRPr="00A5077E">
              <w:rPr>
                <w:color w:val="000000"/>
                <w:lang w:val="lt-LT"/>
              </w:rPr>
              <w:t xml:space="preserve">Šiuo metu LT teisėsaugos institucijų taikomi informacijos rinkimo iš viešų informacijos šaltinių metodai ir priemonės atsilieka nuo telekomunikacijų technologijų pažangos tiek kiekybiniais, tiek kokybiniais parametrais ir neatitinka esamų saugumo poreikių. Techninės galimybės vykdyti automatizuotą viešų elektroninių šaltinių (interneto svetainių, socialinių tinklų, forumų, pokalbių svetainių ir t. t.) informacijos stebėseną ir rinkimą yra ribotos. Kiekviena teisėsaugos institucija informaciją renka ir analizuoja savarankiškai, surinkta informacija saugoma kiekvienam naudotojui prieinamu formatu, </w:t>
            </w:r>
            <w:r w:rsidR="00274FB4" w:rsidRPr="00A5077E">
              <w:rPr>
                <w:color w:val="000000"/>
                <w:lang w:val="lt-LT"/>
              </w:rPr>
              <w:t>siek</w:t>
            </w:r>
            <w:r w:rsidR="00274FB4">
              <w:rPr>
                <w:color w:val="000000"/>
                <w:lang w:val="lt-LT"/>
              </w:rPr>
              <w:t>damos</w:t>
            </w:r>
            <w:r w:rsidR="00274FB4" w:rsidRPr="00A5077E">
              <w:rPr>
                <w:color w:val="000000"/>
                <w:lang w:val="lt-LT"/>
              </w:rPr>
              <w:t xml:space="preserve"> apsaugoti įslaptintą informaciją </w:t>
            </w:r>
            <w:r w:rsidRPr="00A5077E">
              <w:rPr>
                <w:color w:val="000000"/>
                <w:lang w:val="lt-LT"/>
              </w:rPr>
              <w:t>teisėsaugos institucijos tarpusavyje informacija keičiasi tik rankiniu būdu, todėl šis procesas reikalauja daug žmogiškųjų išteklių ir laiko.</w:t>
            </w:r>
            <w:r>
              <w:rPr>
                <w:color w:val="000000"/>
                <w:lang w:val="lt-LT"/>
              </w:rPr>
              <w:t xml:space="preserve"> </w:t>
            </w:r>
          </w:p>
          <w:p w14:paraId="2AF0613C" w14:textId="77777777" w:rsidR="00A77B3E" w:rsidRPr="009201B2" w:rsidRDefault="00A77B3E" w:rsidP="004A5EA0">
            <w:pPr>
              <w:spacing w:before="100"/>
              <w:jc w:val="both"/>
              <w:rPr>
                <w:color w:val="000000"/>
                <w:lang w:val="lt-LT"/>
              </w:rPr>
            </w:pPr>
          </w:p>
          <w:p w14:paraId="62CEFEFB" w14:textId="7F50385E" w:rsidR="00A77B3E" w:rsidRPr="009201B2" w:rsidRDefault="005064FF" w:rsidP="004A5EA0">
            <w:pPr>
              <w:spacing w:before="100"/>
              <w:jc w:val="both"/>
              <w:rPr>
                <w:color w:val="000000"/>
                <w:lang w:val="lt-LT"/>
              </w:rPr>
            </w:pPr>
            <w:r w:rsidRPr="005064FF">
              <w:rPr>
                <w:color w:val="000000"/>
                <w:lang w:val="lt-LT"/>
              </w:rPr>
              <w:t xml:space="preserve">Lietuvos Respublikos muitinė (toliau </w:t>
            </w:r>
            <w:r>
              <w:rPr>
                <w:color w:val="000000"/>
                <w:lang w:val="lt-LT"/>
              </w:rPr>
              <w:t>–</w:t>
            </w:r>
            <w:r w:rsidRPr="005064FF">
              <w:rPr>
                <w:color w:val="000000"/>
                <w:lang w:val="lt-LT"/>
              </w:rPr>
              <w:t xml:space="preserve"> Muitinė) yra viena iš pagrindinių institucijų, saugančių ES išorės sieną nuo nelegalių prekių srauto, todėl jai svarbu keistis asmenų, gabenančių kontrabandines prekes ar draudžiamas medžiagas, </w:t>
            </w:r>
            <w:r w:rsidR="00EB31E3">
              <w:rPr>
                <w:color w:val="000000"/>
                <w:lang w:val="lt-LT"/>
              </w:rPr>
              <w:t>keleivių duomenų įrašų (angl</w:t>
            </w:r>
            <w:r w:rsidR="00EB31E3" w:rsidRPr="00EB31E3">
              <w:rPr>
                <w:color w:val="000000"/>
                <w:lang w:val="lt-LT"/>
              </w:rPr>
              <w:t xml:space="preserve">. </w:t>
            </w:r>
            <w:r w:rsidRPr="00EB31E3">
              <w:rPr>
                <w:color w:val="000000"/>
                <w:lang w:val="lt-LT"/>
              </w:rPr>
              <w:t>PNR</w:t>
            </w:r>
            <w:r w:rsidR="00EB31E3" w:rsidRPr="00EB31E3">
              <w:rPr>
                <w:color w:val="000000"/>
                <w:lang w:val="lt-LT"/>
              </w:rPr>
              <w:t>)</w:t>
            </w:r>
            <w:r w:rsidRPr="005064FF">
              <w:rPr>
                <w:color w:val="000000"/>
                <w:lang w:val="lt-LT"/>
              </w:rPr>
              <w:t xml:space="preserve"> duomenimis ir kriminalinės žvalgybos informacija su kitų ES valstybių narių kompetentingomis institucijomis.</w:t>
            </w:r>
            <w:r w:rsidR="00003C2A" w:rsidRPr="009201B2">
              <w:rPr>
                <w:color w:val="000000"/>
                <w:lang w:val="lt-LT"/>
              </w:rPr>
              <w:t xml:space="preserve"> </w:t>
            </w:r>
            <w:r w:rsidRPr="005064FF">
              <w:rPr>
                <w:color w:val="000000"/>
                <w:lang w:val="lt-LT"/>
              </w:rPr>
              <w:t>Šiuo metu muitinė neturi vientisos informacinės aplinkos, kurioje su kriminalinės žvalgybos veikla susijusi informacija ir duomenys būtų apdorojami esamose platformose ir ryšių kanaluose, pavyzdžiui, AFIS, CRMS, SIENA, CEN; todėl informacija yra išsklaidyta, o jos apdorojimo procesas fragmentiškas. Tai daro neigiamą poveikį kriminalinės žvalgybos veiksmingum</w:t>
            </w:r>
            <w:r>
              <w:rPr>
                <w:color w:val="000000"/>
                <w:lang w:val="lt-LT"/>
              </w:rPr>
              <w:t>ui.</w:t>
            </w:r>
          </w:p>
          <w:p w14:paraId="3A18C843" w14:textId="77777777" w:rsidR="00A77B3E" w:rsidRPr="009201B2" w:rsidRDefault="00A77B3E" w:rsidP="004A5EA0">
            <w:pPr>
              <w:spacing w:before="100"/>
              <w:jc w:val="both"/>
              <w:rPr>
                <w:color w:val="000000"/>
                <w:lang w:val="lt-LT"/>
              </w:rPr>
            </w:pPr>
          </w:p>
          <w:p w14:paraId="63C78D73" w14:textId="60C8924A" w:rsidR="00A77B3E" w:rsidRPr="009201B2" w:rsidRDefault="005064FF" w:rsidP="004A5EA0">
            <w:pPr>
              <w:spacing w:before="100"/>
              <w:jc w:val="both"/>
              <w:rPr>
                <w:color w:val="000000"/>
                <w:lang w:val="lt-LT"/>
              </w:rPr>
            </w:pPr>
            <w:r w:rsidRPr="005064FF">
              <w:rPr>
                <w:color w:val="000000"/>
                <w:lang w:val="lt-LT"/>
              </w:rPr>
              <w:t>Nauj</w:t>
            </w:r>
            <w:r w:rsidR="003A080F">
              <w:rPr>
                <w:color w:val="000000"/>
                <w:lang w:val="lt-LT"/>
              </w:rPr>
              <w:t>a</w:t>
            </w:r>
            <w:r w:rsidRPr="005064FF">
              <w:rPr>
                <w:color w:val="000000"/>
                <w:lang w:val="lt-LT"/>
              </w:rPr>
              <w:t xml:space="preserve"> išplėsta duomenų </w:t>
            </w:r>
            <w:r w:rsidR="003A080F">
              <w:rPr>
                <w:color w:val="000000"/>
                <w:lang w:val="lt-LT"/>
              </w:rPr>
              <w:t xml:space="preserve">įkėlimo programa </w:t>
            </w:r>
            <w:r w:rsidR="00274FB4">
              <w:rPr>
                <w:color w:val="000000"/>
                <w:lang w:val="lt-LT"/>
              </w:rPr>
              <w:t>leis gauti</w:t>
            </w:r>
            <w:r w:rsidRPr="005064FF">
              <w:rPr>
                <w:color w:val="000000"/>
                <w:lang w:val="lt-LT"/>
              </w:rPr>
              <w:t xml:space="preserve"> informacij</w:t>
            </w:r>
            <w:r w:rsidR="00274FB4">
              <w:rPr>
                <w:color w:val="000000"/>
                <w:lang w:val="lt-LT"/>
              </w:rPr>
              <w:t xml:space="preserve">os </w:t>
            </w:r>
            <w:r w:rsidRPr="005064FF">
              <w:rPr>
                <w:color w:val="000000"/>
                <w:lang w:val="lt-LT"/>
              </w:rPr>
              <w:t>iš daugiau nacionalinių sistemų, todėl naudojant atitinkamus IT sprendimus ir priemones (taikomąsias programas, sujungimus, programavimą, mokymą ir kt.)</w:t>
            </w:r>
            <w:r w:rsidR="00274FB4">
              <w:rPr>
                <w:color w:val="000000"/>
                <w:lang w:val="lt-LT"/>
              </w:rPr>
              <w:t xml:space="preserve"> </w:t>
            </w:r>
            <w:r w:rsidR="00274FB4" w:rsidRPr="005064FF">
              <w:rPr>
                <w:color w:val="000000"/>
                <w:lang w:val="lt-LT"/>
              </w:rPr>
              <w:t>bus patobulintas</w:t>
            </w:r>
            <w:r w:rsidR="00274FB4">
              <w:rPr>
                <w:color w:val="000000"/>
                <w:lang w:val="lt-LT"/>
              </w:rPr>
              <w:t xml:space="preserve"> </w:t>
            </w:r>
            <w:r w:rsidR="00274FB4" w:rsidRPr="005064FF">
              <w:rPr>
                <w:color w:val="000000"/>
                <w:lang w:val="lt-LT"/>
              </w:rPr>
              <w:t>duomenų perdavimas</w:t>
            </w:r>
            <w:r w:rsidRPr="005064FF">
              <w:rPr>
                <w:color w:val="000000"/>
                <w:lang w:val="lt-LT"/>
              </w:rPr>
              <w:t>. Automatini</w:t>
            </w:r>
            <w:r w:rsidR="003A080F">
              <w:rPr>
                <w:color w:val="000000"/>
                <w:lang w:val="lt-LT"/>
              </w:rPr>
              <w:t>o</w:t>
            </w:r>
            <w:r w:rsidRPr="005064FF">
              <w:rPr>
                <w:color w:val="000000"/>
                <w:lang w:val="lt-LT"/>
              </w:rPr>
              <w:t xml:space="preserve"> duomenų į</w:t>
            </w:r>
            <w:r w:rsidR="003A080F">
              <w:rPr>
                <w:color w:val="000000"/>
                <w:lang w:val="lt-LT"/>
              </w:rPr>
              <w:t>kėlimo sistema</w:t>
            </w:r>
            <w:r w:rsidRPr="005064FF">
              <w:rPr>
                <w:color w:val="000000"/>
                <w:lang w:val="lt-LT"/>
              </w:rPr>
              <w:t xml:space="preserve"> padidins esamų tarpvalstybinio keitimosi informacija priemonių naudojimo efektyvumą, pagerins dalijimąsi duomenimis su Europolu ir kitais ES partneriais bei </w:t>
            </w:r>
            <w:r w:rsidR="00EB43D4">
              <w:rPr>
                <w:color w:val="000000"/>
                <w:lang w:val="lt-LT"/>
              </w:rPr>
              <w:t>pabrėš</w:t>
            </w:r>
            <w:r w:rsidRPr="005064FF">
              <w:rPr>
                <w:color w:val="000000"/>
                <w:lang w:val="lt-LT"/>
              </w:rPr>
              <w:t xml:space="preserve"> Europolo priemonių naudojimo svarbą kompetentingoms institucijoms</w:t>
            </w:r>
            <w:r w:rsidR="003A080F">
              <w:rPr>
                <w:color w:val="000000"/>
                <w:lang w:val="lt-LT"/>
              </w:rPr>
              <w:t>.</w:t>
            </w:r>
          </w:p>
          <w:p w14:paraId="798A702E" w14:textId="521B807D" w:rsidR="00A77B3E" w:rsidRPr="009201B2" w:rsidRDefault="00EB43D4" w:rsidP="004A5EA0">
            <w:pPr>
              <w:spacing w:before="100"/>
              <w:jc w:val="both"/>
              <w:rPr>
                <w:color w:val="000000"/>
                <w:lang w:val="lt-LT"/>
              </w:rPr>
            </w:pPr>
            <w:r>
              <w:rPr>
                <w:color w:val="000000"/>
                <w:lang w:val="lt-LT"/>
              </w:rPr>
              <w:t>D</w:t>
            </w:r>
            <w:r w:rsidR="003A080F" w:rsidRPr="003A080F">
              <w:rPr>
                <w:color w:val="000000"/>
                <w:lang w:val="lt-LT"/>
              </w:rPr>
              <w:t>ar labiau padid</w:t>
            </w:r>
            <w:r>
              <w:rPr>
                <w:color w:val="000000"/>
                <w:lang w:val="lt-LT"/>
              </w:rPr>
              <w:t>ės</w:t>
            </w:r>
            <w:r w:rsidR="003A080F" w:rsidRPr="003A080F">
              <w:rPr>
                <w:color w:val="000000"/>
                <w:lang w:val="lt-LT"/>
              </w:rPr>
              <w:t xml:space="preserve"> darbo vietų, skirtų prieigai prie SIENA, skaičius.</w:t>
            </w:r>
          </w:p>
          <w:p w14:paraId="4EFE9B22" w14:textId="77777777" w:rsidR="00A77B3E" w:rsidRPr="009201B2" w:rsidRDefault="00A77B3E" w:rsidP="004A5EA0">
            <w:pPr>
              <w:spacing w:before="100"/>
              <w:jc w:val="both"/>
              <w:rPr>
                <w:color w:val="000000"/>
                <w:lang w:val="lt-LT"/>
              </w:rPr>
            </w:pPr>
          </w:p>
          <w:p w14:paraId="18923C19" w14:textId="522CB244" w:rsidR="00A77B3E" w:rsidRPr="009201B2" w:rsidRDefault="003A080F" w:rsidP="004A5EA0">
            <w:pPr>
              <w:spacing w:before="100"/>
              <w:jc w:val="both"/>
              <w:rPr>
                <w:color w:val="000000"/>
                <w:lang w:val="lt-LT"/>
              </w:rPr>
            </w:pPr>
            <w:r w:rsidRPr="003A080F">
              <w:rPr>
                <w:color w:val="000000"/>
                <w:lang w:val="lt-LT"/>
              </w:rPr>
              <w:t>F</w:t>
            </w:r>
            <w:r>
              <w:rPr>
                <w:color w:val="000000"/>
                <w:lang w:val="lt-LT"/>
              </w:rPr>
              <w:t>NTT</w:t>
            </w:r>
            <w:r w:rsidRPr="003A080F">
              <w:rPr>
                <w:color w:val="000000"/>
                <w:lang w:val="lt-LT"/>
              </w:rPr>
              <w:t xml:space="preserve"> techninė ir informacinė bazė pritaikyta 4G ryšiui, o pradėjus plėtoti 5G ryšį ji nebeatitiks tikrinimo ir stebėsenos sistemos standartų. Neatnaujinus techninės įrangos kyla pavojus tinkamam informacijos rinkimui, perdavimui, apsaugai ir saugojimui. Esamos specializuotos mobiliosios darbo vietos (jų įranga)</w:t>
            </w:r>
            <w:r w:rsidR="00EB43D4">
              <w:rPr>
                <w:color w:val="000000"/>
                <w:lang w:val="lt-LT"/>
              </w:rPr>
              <w:t xml:space="preserve">, be kita ko, </w:t>
            </w:r>
            <w:r w:rsidRPr="003A080F">
              <w:rPr>
                <w:color w:val="000000"/>
                <w:lang w:val="lt-LT"/>
              </w:rPr>
              <w:t>reikalauja nuolatinės techninės priežiūros ir įrangos (licencijų) atnaujinimo</w:t>
            </w:r>
            <w:r>
              <w:rPr>
                <w:color w:val="000000"/>
                <w:lang w:val="lt-LT"/>
              </w:rPr>
              <w:t xml:space="preserve">. </w:t>
            </w:r>
          </w:p>
          <w:p w14:paraId="3D184F44" w14:textId="77777777" w:rsidR="00A77B3E" w:rsidRPr="009201B2" w:rsidRDefault="00A77B3E" w:rsidP="004A5EA0">
            <w:pPr>
              <w:spacing w:before="100"/>
              <w:jc w:val="both"/>
              <w:rPr>
                <w:color w:val="000000"/>
                <w:lang w:val="lt-LT"/>
              </w:rPr>
            </w:pPr>
          </w:p>
          <w:p w14:paraId="68A5C8C7" w14:textId="097A091A" w:rsidR="00A77B3E" w:rsidRPr="009201B2" w:rsidRDefault="003A080F" w:rsidP="004A5EA0">
            <w:pPr>
              <w:spacing w:before="100"/>
              <w:jc w:val="both"/>
              <w:rPr>
                <w:color w:val="000000"/>
                <w:lang w:val="lt-LT"/>
              </w:rPr>
            </w:pPr>
            <w:r w:rsidRPr="003A080F">
              <w:rPr>
                <w:color w:val="000000"/>
                <w:lang w:val="lt-LT"/>
              </w:rPr>
              <w:t>N</w:t>
            </w:r>
            <w:r w:rsidR="003D6BE0">
              <w:rPr>
                <w:color w:val="000000"/>
                <w:lang w:val="lt-LT"/>
              </w:rPr>
              <w:t>orint n</w:t>
            </w:r>
            <w:r w:rsidRPr="003A080F">
              <w:rPr>
                <w:color w:val="000000"/>
                <w:lang w:val="lt-LT"/>
              </w:rPr>
              <w:t>uolat intensyv</w:t>
            </w:r>
            <w:r w:rsidR="003D6BE0">
              <w:rPr>
                <w:color w:val="000000"/>
                <w:lang w:val="lt-LT"/>
              </w:rPr>
              <w:t>inti</w:t>
            </w:r>
            <w:r w:rsidRPr="003A080F">
              <w:rPr>
                <w:color w:val="000000"/>
                <w:lang w:val="lt-LT"/>
              </w:rPr>
              <w:t xml:space="preserve"> tarpvalstybin</w:t>
            </w:r>
            <w:r w:rsidR="003D6BE0">
              <w:rPr>
                <w:color w:val="000000"/>
                <w:lang w:val="lt-LT"/>
              </w:rPr>
              <w:t xml:space="preserve">į </w:t>
            </w:r>
            <w:r w:rsidRPr="003A080F">
              <w:rPr>
                <w:color w:val="000000"/>
                <w:lang w:val="lt-LT"/>
              </w:rPr>
              <w:t>teisėsaugos institucijų bendradarbiavim</w:t>
            </w:r>
            <w:r w:rsidR="003D6BE0">
              <w:rPr>
                <w:color w:val="000000"/>
                <w:lang w:val="lt-LT"/>
              </w:rPr>
              <w:t xml:space="preserve">ą </w:t>
            </w:r>
            <w:r w:rsidRPr="003A080F">
              <w:rPr>
                <w:color w:val="000000"/>
                <w:lang w:val="lt-LT"/>
              </w:rPr>
              <w:t xml:space="preserve">tarptautiniu lygmeniu užkardant ir tiriant sunkius ir organizuotus nusikaltimus, </w:t>
            </w:r>
            <w:r w:rsidR="003D6BE0">
              <w:rPr>
                <w:color w:val="000000"/>
                <w:lang w:val="lt-LT"/>
              </w:rPr>
              <w:t xml:space="preserve">o pagrindinį dėmesį skirti </w:t>
            </w:r>
            <w:r w:rsidRPr="003A080F">
              <w:rPr>
                <w:color w:val="000000"/>
                <w:lang w:val="lt-LT"/>
              </w:rPr>
              <w:t xml:space="preserve">keitimuisi informacija ir jos tikrinimui prevencijos tikslais, būtina nuolat tobulinti ir modernizuoti policijos IS, gerinti jų sąveiką, taikyti naujausias technologijas (robotiką, dirbtinį intelektą) automatizuojant procesus, diegiant analitines priemones ir kitas technologijas, skirtas dideliems duomenų kiekiams apdoroti, tobulinti institucijų veiklą, nuolat ieškoti naujų žmogiškųjų gebėjimų ir taktinių priemonių, </w:t>
            </w:r>
            <w:r w:rsidR="0037643A">
              <w:rPr>
                <w:color w:val="000000"/>
                <w:lang w:val="lt-LT"/>
              </w:rPr>
              <w:t xml:space="preserve">kelti </w:t>
            </w:r>
            <w:r w:rsidRPr="003A080F">
              <w:rPr>
                <w:color w:val="000000"/>
                <w:lang w:val="lt-LT"/>
              </w:rPr>
              <w:t>pareigūnų kvalifikaciją.</w:t>
            </w:r>
            <w:r>
              <w:rPr>
                <w:color w:val="000000"/>
                <w:lang w:val="lt-LT"/>
              </w:rPr>
              <w:t xml:space="preserve"> </w:t>
            </w:r>
          </w:p>
          <w:p w14:paraId="3B147BC5" w14:textId="52D5993A" w:rsidR="00A77B3E" w:rsidRPr="009201B2" w:rsidRDefault="003A080F" w:rsidP="004A5EA0">
            <w:pPr>
              <w:spacing w:before="100"/>
              <w:jc w:val="both"/>
              <w:rPr>
                <w:color w:val="000000"/>
                <w:lang w:val="lt-LT"/>
              </w:rPr>
            </w:pPr>
            <w:r w:rsidRPr="003A080F">
              <w:rPr>
                <w:color w:val="000000"/>
                <w:lang w:val="lt-LT"/>
              </w:rPr>
              <w:t xml:space="preserve">Įrangos </w:t>
            </w:r>
            <w:r w:rsidR="00E0420B">
              <w:rPr>
                <w:color w:val="000000"/>
                <w:lang w:val="lt-LT"/>
              </w:rPr>
              <w:t>paskirstymo</w:t>
            </w:r>
            <w:r w:rsidRPr="003A080F">
              <w:rPr>
                <w:color w:val="000000"/>
                <w:lang w:val="lt-LT"/>
              </w:rPr>
              <w:t xml:space="preserve"> ir vienetų kiekį lemia speci</w:t>
            </w:r>
            <w:r w:rsidR="00E0420B">
              <w:rPr>
                <w:color w:val="000000"/>
                <w:lang w:val="lt-LT"/>
              </w:rPr>
              <w:t>finis</w:t>
            </w:r>
            <w:r w:rsidRPr="003A080F">
              <w:rPr>
                <w:color w:val="000000"/>
                <w:lang w:val="lt-LT"/>
              </w:rPr>
              <w:t xml:space="preserve"> </w:t>
            </w:r>
            <w:r w:rsidR="00E0420B" w:rsidRPr="003A080F">
              <w:rPr>
                <w:color w:val="000000"/>
                <w:lang w:val="lt-LT"/>
              </w:rPr>
              <w:t xml:space="preserve">daugelio elementų </w:t>
            </w:r>
            <w:r w:rsidRPr="003A080F">
              <w:rPr>
                <w:color w:val="000000"/>
                <w:lang w:val="lt-LT"/>
              </w:rPr>
              <w:t>pobūdis (pvz., specializuota kriminalistikos įranga, speciali ir saugi IT įranga ir programinė įranga, skirta kibernetinių nusikaltimų tyrimams ir muitinio tikrinimo funkcijoms atlikti) ir poreikis juos pritaikyti (saugumo sumetimais). Elementų skaičius (pvz., specialūs nešiojamieji kompiuteriai, licencijos ar kita įranga) grindžiamas ankstesniais operatyviniais ir atsarginiais poreikiai</w:t>
            </w:r>
            <w:r w:rsidR="00E0420B">
              <w:rPr>
                <w:color w:val="000000"/>
                <w:lang w:val="lt-LT"/>
              </w:rPr>
              <w:t>s</w:t>
            </w:r>
            <w:r w:rsidR="00003C2A" w:rsidRPr="009201B2">
              <w:rPr>
                <w:color w:val="000000"/>
                <w:lang w:val="lt-LT"/>
              </w:rPr>
              <w:t>.</w:t>
            </w:r>
          </w:p>
          <w:p w14:paraId="1BDD099D" w14:textId="71B5DF6F" w:rsidR="00A77B3E" w:rsidRPr="009201B2" w:rsidRDefault="00E0420B">
            <w:pPr>
              <w:spacing w:before="100"/>
              <w:rPr>
                <w:color w:val="000000"/>
                <w:lang w:val="lt-LT"/>
              </w:rPr>
            </w:pPr>
            <w:r w:rsidRPr="00E0420B">
              <w:rPr>
                <w:b/>
                <w:bCs/>
                <w:color w:val="000000"/>
                <w:lang w:val="lt-LT"/>
              </w:rPr>
              <w:t xml:space="preserve">Siūlomi minėtų problemų sprendimai, kurie turi būti </w:t>
            </w:r>
            <w:r w:rsidR="006C5C94">
              <w:rPr>
                <w:b/>
                <w:bCs/>
                <w:color w:val="000000"/>
                <w:lang w:val="lt-LT"/>
              </w:rPr>
              <w:t>įgyvendinami</w:t>
            </w:r>
            <w:r w:rsidRPr="00E0420B">
              <w:rPr>
                <w:b/>
                <w:bCs/>
                <w:color w:val="000000"/>
                <w:lang w:val="lt-LT"/>
              </w:rPr>
              <w:t xml:space="preserve"> naudojant </w:t>
            </w:r>
            <w:r>
              <w:rPr>
                <w:b/>
                <w:bCs/>
                <w:color w:val="000000"/>
                <w:lang w:val="lt-LT"/>
              </w:rPr>
              <w:t>V</w:t>
            </w:r>
            <w:r w:rsidRPr="00E0420B">
              <w:rPr>
                <w:b/>
                <w:bCs/>
                <w:color w:val="000000"/>
                <w:lang w:val="lt-LT"/>
              </w:rPr>
              <w:t>SF lėšas:</w:t>
            </w:r>
            <w:r>
              <w:rPr>
                <w:b/>
                <w:bCs/>
                <w:color w:val="000000"/>
                <w:lang w:val="lt-LT"/>
              </w:rPr>
              <w:t xml:space="preserve"> </w:t>
            </w:r>
          </w:p>
          <w:p w14:paraId="09C685BC" w14:textId="0E89C51E" w:rsidR="00A77B3E" w:rsidRPr="009201B2" w:rsidRDefault="00003C2A" w:rsidP="004A5EA0">
            <w:pPr>
              <w:spacing w:before="100"/>
              <w:jc w:val="both"/>
              <w:rPr>
                <w:color w:val="000000"/>
                <w:lang w:val="lt-LT"/>
              </w:rPr>
            </w:pPr>
            <w:r w:rsidRPr="009201B2">
              <w:rPr>
                <w:color w:val="000000"/>
                <w:lang w:val="lt-LT"/>
              </w:rPr>
              <w:t>-      </w:t>
            </w:r>
            <w:r w:rsidR="00E0420B" w:rsidRPr="00E0420B">
              <w:rPr>
                <w:color w:val="000000"/>
                <w:lang w:val="lt-LT"/>
              </w:rPr>
              <w:t xml:space="preserve">policijos IS ir registrų plėtra, įgyvendinant ES IS reglamentus, užtikrinant tarptautinių ir nacionalinių teisėsaugos institucijų IS sąveiką, tarptautiniais bendradarbiavimo kanalais gautos informacijos tvarkymą </w:t>
            </w:r>
            <w:r w:rsidR="00E0420B" w:rsidRPr="00E0420B">
              <w:rPr>
                <w:color w:val="000000"/>
                <w:lang w:val="lt-LT"/>
              </w:rPr>
              <w:lastRenderedPageBreak/>
              <w:t>ir procesų automatizavimą; kriminalistinių tyrimų pajėgumų plėtra, modernizuojant IS ir registrus, darbo vietas ir įsigyjant atitinkamą techninę ir (arba) programinę įrangą</w:t>
            </w:r>
            <w:r w:rsidRPr="009201B2">
              <w:rPr>
                <w:color w:val="000000"/>
                <w:lang w:val="lt-LT"/>
              </w:rPr>
              <w:t>;</w:t>
            </w:r>
          </w:p>
          <w:p w14:paraId="20052B88" w14:textId="6949A380" w:rsidR="00A77B3E" w:rsidRPr="009201B2" w:rsidRDefault="00003C2A" w:rsidP="004A5EA0">
            <w:pPr>
              <w:spacing w:before="100"/>
              <w:jc w:val="both"/>
              <w:rPr>
                <w:color w:val="000000"/>
                <w:lang w:val="lt-LT"/>
              </w:rPr>
            </w:pPr>
            <w:r w:rsidRPr="009201B2">
              <w:rPr>
                <w:color w:val="000000"/>
                <w:lang w:val="lt-LT"/>
              </w:rPr>
              <w:t>-     </w:t>
            </w:r>
            <w:r w:rsidR="00E0420B">
              <w:rPr>
                <w:color w:val="000000"/>
                <w:lang w:val="lt-LT"/>
              </w:rPr>
              <w:t>u</w:t>
            </w:r>
            <w:r w:rsidR="00E0420B" w:rsidRPr="00E0420B">
              <w:rPr>
                <w:color w:val="000000"/>
                <w:lang w:val="lt-LT"/>
              </w:rPr>
              <w:t xml:space="preserve">niversalių keitimosi informacija IT sprendimų diegimas ir tobulinimas, IS sąveikos užtikrinimas (iš </w:t>
            </w:r>
            <w:r w:rsidR="00E0420B">
              <w:rPr>
                <w:color w:val="000000"/>
                <w:lang w:val="lt-LT"/>
              </w:rPr>
              <w:t>V</w:t>
            </w:r>
            <w:r w:rsidR="00E0420B" w:rsidRPr="00E0420B">
              <w:rPr>
                <w:color w:val="000000"/>
                <w:lang w:val="lt-LT"/>
              </w:rPr>
              <w:t xml:space="preserve">SF bus remiami tik ECRIS TCN sąveikos komponentai ir pritaikymai, reikalingi sąveikai su centralizuotomis sistemomis, kuriomis siekiama </w:t>
            </w:r>
            <w:r w:rsidR="00E0420B">
              <w:rPr>
                <w:color w:val="000000"/>
                <w:lang w:val="lt-LT"/>
              </w:rPr>
              <w:t>V</w:t>
            </w:r>
            <w:r w:rsidR="00E0420B" w:rsidRPr="00E0420B">
              <w:rPr>
                <w:color w:val="000000"/>
                <w:lang w:val="lt-LT"/>
              </w:rPr>
              <w:t>SF tikslų, užtikrinti; IBPS suderinamumas su Europos prokuratūros bylų valdymo sistema; universalios teisėsaugos institucijų duomenų paieškos sistemos kūrimas; Ginklų registro priežiūra ir plėtra) ir reikiamos įrangos priežiūra</w:t>
            </w:r>
            <w:r w:rsidRPr="009201B2">
              <w:rPr>
                <w:color w:val="000000"/>
                <w:lang w:val="lt-LT"/>
              </w:rPr>
              <w:t>;</w:t>
            </w:r>
          </w:p>
          <w:p w14:paraId="0163B6A9" w14:textId="0BD50B89" w:rsidR="00A77B3E" w:rsidRPr="009201B2" w:rsidRDefault="00003C2A" w:rsidP="004A5EA0">
            <w:pPr>
              <w:spacing w:before="100"/>
              <w:jc w:val="both"/>
              <w:rPr>
                <w:color w:val="000000"/>
                <w:lang w:val="lt-LT"/>
              </w:rPr>
            </w:pPr>
            <w:r w:rsidRPr="009201B2">
              <w:rPr>
                <w:color w:val="000000"/>
                <w:lang w:val="lt-LT"/>
              </w:rPr>
              <w:t>-     </w:t>
            </w:r>
            <w:r w:rsidR="00E0420B" w:rsidRPr="00E0420B">
              <w:rPr>
                <w:color w:val="000000"/>
                <w:lang w:val="lt-LT"/>
              </w:rPr>
              <w:t xml:space="preserve"> automatinio veido atpažinimo ir transporto priemonių valstybinių numerių atpažinimo sistem</w:t>
            </w:r>
            <w:r w:rsidR="00E0420B">
              <w:rPr>
                <w:color w:val="000000"/>
                <w:lang w:val="lt-LT"/>
              </w:rPr>
              <w:t>ų diegimas ir tobulinimas</w:t>
            </w:r>
            <w:r w:rsidR="00E0420B" w:rsidRPr="00E0420B">
              <w:rPr>
                <w:color w:val="000000"/>
                <w:lang w:val="lt-LT"/>
              </w:rPr>
              <w:t xml:space="preserve"> (ANPR tobulinimas; HDR veido atpažinimo sprendimų kūrimas);</w:t>
            </w:r>
          </w:p>
          <w:p w14:paraId="696311FC" w14:textId="22B0FFAD" w:rsidR="00A77B3E" w:rsidRPr="009201B2" w:rsidRDefault="00003C2A" w:rsidP="004A5EA0">
            <w:pPr>
              <w:spacing w:before="100"/>
              <w:jc w:val="both"/>
              <w:rPr>
                <w:color w:val="000000"/>
                <w:lang w:val="lt-LT"/>
              </w:rPr>
            </w:pPr>
            <w:r w:rsidRPr="009201B2">
              <w:rPr>
                <w:color w:val="000000"/>
                <w:lang w:val="lt-LT"/>
              </w:rPr>
              <w:t>-     </w:t>
            </w:r>
            <w:r w:rsidR="00E0420B" w:rsidRPr="00E0420B">
              <w:rPr>
                <w:color w:val="000000"/>
                <w:lang w:val="lt-LT"/>
              </w:rPr>
              <w:t>žvalgybos ir kriminalinės žvalgybos poreikius atitinkančios tarpžinybinės informacijos rinkimo, apdorojimo ir analizės sistemos, užtikrinančios veiksmingą, automatizuotą, saugų ir centralizuotą didelio kiekio duomenų, gaunamų iš įvairių informacijos šaltinių, naudojimą, kūrimas ir diegimas</w:t>
            </w:r>
            <w:r w:rsidRPr="009201B2">
              <w:rPr>
                <w:color w:val="000000"/>
                <w:lang w:val="lt-LT"/>
              </w:rPr>
              <w:t>;</w:t>
            </w:r>
          </w:p>
          <w:p w14:paraId="18B5F147" w14:textId="596CA0E5" w:rsidR="00A77B3E" w:rsidRPr="009201B2" w:rsidRDefault="00003C2A" w:rsidP="004A5EA0">
            <w:pPr>
              <w:spacing w:before="100"/>
              <w:jc w:val="both"/>
              <w:rPr>
                <w:color w:val="000000"/>
                <w:lang w:val="lt-LT"/>
              </w:rPr>
            </w:pPr>
            <w:r w:rsidRPr="009201B2">
              <w:rPr>
                <w:color w:val="000000"/>
                <w:lang w:val="lt-LT"/>
              </w:rPr>
              <w:t>-     </w:t>
            </w:r>
            <w:r w:rsidR="00E0420B">
              <w:rPr>
                <w:color w:val="000000"/>
                <w:lang w:val="lt-LT"/>
              </w:rPr>
              <w:t>m</w:t>
            </w:r>
            <w:r w:rsidR="00E0420B" w:rsidRPr="00E0420B">
              <w:rPr>
                <w:color w:val="000000"/>
                <w:lang w:val="lt-LT"/>
              </w:rPr>
              <w:t>uitinės kriminalinės žvalgybos IS atnaujinimas</w:t>
            </w:r>
            <w:r w:rsidRPr="009201B2">
              <w:rPr>
                <w:color w:val="000000"/>
                <w:lang w:val="lt-LT"/>
              </w:rPr>
              <w:t>;</w:t>
            </w:r>
          </w:p>
          <w:p w14:paraId="16F5F1FC" w14:textId="612803D2" w:rsidR="00A77B3E" w:rsidRPr="009201B2" w:rsidRDefault="00003C2A" w:rsidP="004A5EA0">
            <w:pPr>
              <w:spacing w:before="100"/>
              <w:jc w:val="both"/>
              <w:rPr>
                <w:color w:val="000000"/>
                <w:lang w:val="lt-LT"/>
              </w:rPr>
            </w:pPr>
            <w:r w:rsidRPr="009201B2">
              <w:rPr>
                <w:color w:val="000000"/>
                <w:lang w:val="lt-LT"/>
              </w:rPr>
              <w:t>-     </w:t>
            </w:r>
            <w:r w:rsidR="00E0420B">
              <w:rPr>
                <w:color w:val="000000"/>
                <w:lang w:val="lt-LT"/>
              </w:rPr>
              <w:t xml:space="preserve">FNTT </w:t>
            </w:r>
            <w:r w:rsidR="006C5C94">
              <w:rPr>
                <w:color w:val="000000"/>
                <w:lang w:val="lt-LT"/>
              </w:rPr>
              <w:t>t</w:t>
            </w:r>
            <w:r w:rsidR="00E0420B" w:rsidRPr="00E0420B">
              <w:rPr>
                <w:color w:val="000000"/>
                <w:lang w:val="lt-LT"/>
              </w:rPr>
              <w:t>echninės ir informacinės bazės atnaujinima</w:t>
            </w:r>
            <w:r w:rsidR="00E0420B">
              <w:rPr>
                <w:color w:val="000000"/>
                <w:lang w:val="lt-LT"/>
              </w:rPr>
              <w:t>s</w:t>
            </w:r>
            <w:r w:rsidRPr="009201B2">
              <w:rPr>
                <w:color w:val="000000"/>
                <w:lang w:val="lt-LT"/>
              </w:rPr>
              <w:t>.</w:t>
            </w:r>
          </w:p>
          <w:p w14:paraId="74510512" w14:textId="77777777" w:rsidR="00A77B3E" w:rsidRPr="009201B2" w:rsidRDefault="00A77B3E" w:rsidP="004A5EA0">
            <w:pPr>
              <w:spacing w:before="100"/>
              <w:jc w:val="both"/>
              <w:rPr>
                <w:color w:val="000000"/>
                <w:lang w:val="lt-LT"/>
              </w:rPr>
            </w:pPr>
          </w:p>
          <w:p w14:paraId="633C6A0A" w14:textId="71EC8871" w:rsidR="00A77B3E" w:rsidRPr="009201B2" w:rsidRDefault="00E0420B">
            <w:pPr>
              <w:spacing w:before="100"/>
              <w:rPr>
                <w:color w:val="000000"/>
                <w:lang w:val="lt-LT"/>
              </w:rPr>
            </w:pPr>
            <w:r>
              <w:rPr>
                <w:b/>
                <w:bCs/>
                <w:i/>
                <w:iCs/>
                <w:color w:val="000000"/>
                <w:lang w:val="lt-LT"/>
              </w:rPr>
              <w:t>Kova su korupcija</w:t>
            </w:r>
          </w:p>
          <w:p w14:paraId="1FBCEE0E" w14:textId="1AB4F10B" w:rsidR="00A77B3E" w:rsidRPr="009201B2" w:rsidRDefault="00E0420B" w:rsidP="004A5EA0">
            <w:pPr>
              <w:spacing w:before="100"/>
              <w:jc w:val="both"/>
              <w:rPr>
                <w:color w:val="000000"/>
                <w:lang w:val="lt-LT"/>
              </w:rPr>
            </w:pPr>
            <w:r w:rsidRPr="00E0420B">
              <w:rPr>
                <w:color w:val="000000"/>
                <w:lang w:val="lt-LT"/>
              </w:rPr>
              <w:t xml:space="preserve">Lietuvos Respublikos specialiųjų tyrimų tarnyba (STT) yra pagrindinė antikorupcinė teisėsaugos institucija Lietuvoje, atskaitinga Lietuvos Respublikos Prezidentui ir Lietuvos Respublikos Seimui. </w:t>
            </w:r>
            <w:r w:rsidR="006C5C94">
              <w:rPr>
                <w:color w:val="000000"/>
                <w:lang w:val="lt-LT"/>
              </w:rPr>
              <w:t>A</w:t>
            </w:r>
            <w:r w:rsidRPr="00E0420B">
              <w:rPr>
                <w:color w:val="000000"/>
                <w:lang w:val="lt-LT"/>
              </w:rPr>
              <w:t xml:space="preserve">tskleisdama korupcinio pobūdžio nusikalstamas veikas, </w:t>
            </w:r>
            <w:r w:rsidR="006C5C94" w:rsidRPr="00E0420B">
              <w:rPr>
                <w:color w:val="000000"/>
                <w:lang w:val="lt-LT"/>
              </w:rPr>
              <w:t>STT</w:t>
            </w:r>
            <w:r w:rsidR="006C5C94">
              <w:rPr>
                <w:color w:val="000000"/>
                <w:lang w:val="lt-LT"/>
              </w:rPr>
              <w:t xml:space="preserve"> </w:t>
            </w:r>
            <w:r w:rsidRPr="00E0420B">
              <w:rPr>
                <w:color w:val="000000"/>
                <w:lang w:val="lt-LT"/>
              </w:rPr>
              <w:t xml:space="preserve">naudoja didelius duomenų rinkinius iš įvairių institucijų registrų, taip pat savo veikloje surinktą informaciją. Siūlomas STT naudojamos IS, finansuojamos iš </w:t>
            </w:r>
            <w:r>
              <w:rPr>
                <w:color w:val="000000"/>
                <w:lang w:val="lt-LT"/>
              </w:rPr>
              <w:t>V</w:t>
            </w:r>
            <w:r w:rsidRPr="00E0420B">
              <w:rPr>
                <w:color w:val="000000"/>
                <w:lang w:val="lt-LT"/>
              </w:rPr>
              <w:t>SF lėšų, tobulinimas leistų ne tik daug efektyviau ir įvairiais pjūviais apdoroti didelius kokybiškų duomenų rinkinius, bet ir dirbtinio intelekto pagalba nustatyti korupcijos riziką ir jos veiksnius įvairiuose sektoriuose bei jų lygius, taip pat apdorotos informacijos pagalba būtų galima generuoti įžvalgas, aktualias ne tik STT, bet ir kitoms teisėsaugos institucijoms, mokesčių administratoriui, rinką, viešuosius pirkimus, viešuosius ir privačius interesus kontroliuojančioms institucijoms ir kt. Tobulinant STT IS, sustiprėtų ir retrospektyvinių tyrimų sritis.</w:t>
            </w:r>
            <w:r>
              <w:rPr>
                <w:color w:val="000000"/>
                <w:lang w:val="lt-LT"/>
              </w:rPr>
              <w:t xml:space="preserve"> </w:t>
            </w:r>
          </w:p>
          <w:p w14:paraId="2E05628F" w14:textId="77777777" w:rsidR="00A77B3E" w:rsidRPr="009201B2" w:rsidRDefault="00A77B3E" w:rsidP="004A5EA0">
            <w:pPr>
              <w:spacing w:before="100"/>
              <w:jc w:val="both"/>
              <w:rPr>
                <w:color w:val="000000"/>
                <w:lang w:val="lt-LT"/>
              </w:rPr>
            </w:pPr>
          </w:p>
          <w:p w14:paraId="1FA2C8C4" w14:textId="09A1054A" w:rsidR="00A77B3E" w:rsidRPr="009201B2" w:rsidRDefault="00E0420B">
            <w:pPr>
              <w:spacing w:before="100"/>
              <w:rPr>
                <w:color w:val="000000"/>
                <w:lang w:val="lt-LT"/>
              </w:rPr>
            </w:pPr>
            <w:r w:rsidRPr="00E0420B">
              <w:rPr>
                <w:b/>
                <w:bCs/>
                <w:color w:val="000000"/>
                <w:lang w:val="lt-LT"/>
              </w:rPr>
              <w:t xml:space="preserve">Kad būtų pasiekti </w:t>
            </w:r>
            <w:r>
              <w:rPr>
                <w:b/>
                <w:bCs/>
                <w:color w:val="000000"/>
                <w:lang w:val="lt-LT"/>
              </w:rPr>
              <w:t>KT</w:t>
            </w:r>
            <w:r w:rsidR="00BE352F">
              <w:rPr>
                <w:b/>
                <w:bCs/>
                <w:color w:val="000000"/>
                <w:lang w:val="lt-LT"/>
              </w:rPr>
              <w:t>1</w:t>
            </w:r>
            <w:r w:rsidRPr="00E0420B">
              <w:rPr>
                <w:b/>
                <w:bCs/>
                <w:color w:val="000000"/>
                <w:lang w:val="lt-LT"/>
              </w:rPr>
              <w:t xml:space="preserve"> </w:t>
            </w:r>
            <w:r w:rsidR="006C5C94">
              <w:rPr>
                <w:b/>
                <w:bCs/>
                <w:color w:val="000000"/>
                <w:lang w:val="lt-LT"/>
              </w:rPr>
              <w:t>siekiai</w:t>
            </w:r>
            <w:r w:rsidRPr="00E0420B">
              <w:rPr>
                <w:b/>
                <w:bCs/>
                <w:color w:val="000000"/>
                <w:lang w:val="lt-LT"/>
              </w:rPr>
              <w:t xml:space="preserve"> ir II priedo įgyvendinimo priemonės, bus remiami šie orientaciniai veiksmai (III priedas)</w:t>
            </w:r>
            <w:r w:rsidR="00003C2A" w:rsidRPr="009201B2">
              <w:rPr>
                <w:b/>
                <w:bCs/>
                <w:color w:val="000000"/>
                <w:lang w:val="lt-LT"/>
              </w:rPr>
              <w:t xml:space="preserve">: </w:t>
            </w:r>
          </w:p>
          <w:p w14:paraId="42FCBF40" w14:textId="261063A9" w:rsidR="00A77B3E" w:rsidRPr="009201B2" w:rsidRDefault="00003C2A" w:rsidP="004A5EA0">
            <w:pPr>
              <w:spacing w:before="100"/>
              <w:jc w:val="both"/>
              <w:rPr>
                <w:color w:val="000000"/>
                <w:lang w:val="lt-LT"/>
              </w:rPr>
            </w:pPr>
            <w:r w:rsidRPr="009201B2">
              <w:rPr>
                <w:color w:val="000000"/>
                <w:lang w:val="lt-LT"/>
              </w:rPr>
              <w:t xml:space="preserve">- </w:t>
            </w:r>
            <w:r w:rsidR="00E0420B" w:rsidRPr="00E0420B">
              <w:rPr>
                <w:color w:val="000000"/>
                <w:lang w:val="lt-LT"/>
              </w:rPr>
              <w:t xml:space="preserve">IRT sistemų, padedančių siekti šio reglamento tikslų, kūrimas, pritaikymas ir priežiūra, mokymas naudotis tokiomis sistemomis, tokių sistemų sąveikos komponentų ir duomenų kokybės testavimas ir gerinimas (II priedo 1 </w:t>
            </w:r>
            <w:r w:rsidR="00E0420B">
              <w:rPr>
                <w:color w:val="000000"/>
                <w:lang w:val="lt-LT"/>
              </w:rPr>
              <w:t>dalies</w:t>
            </w:r>
            <w:r w:rsidR="00E0420B" w:rsidRPr="00E0420B">
              <w:rPr>
                <w:color w:val="000000"/>
                <w:lang w:val="lt-LT"/>
              </w:rPr>
              <w:t xml:space="preserve"> a, b, c punktai)</w:t>
            </w:r>
            <w:r w:rsidRPr="009201B2">
              <w:rPr>
                <w:color w:val="000000"/>
                <w:lang w:val="lt-LT"/>
              </w:rPr>
              <w:t>;</w:t>
            </w:r>
          </w:p>
          <w:p w14:paraId="7541CEFE" w14:textId="2CAAB6D0" w:rsidR="00A77B3E" w:rsidRPr="009201B2" w:rsidRDefault="00003C2A" w:rsidP="004A5EA0">
            <w:pPr>
              <w:spacing w:before="100"/>
              <w:jc w:val="both"/>
              <w:rPr>
                <w:color w:val="000000"/>
                <w:lang w:val="lt-LT"/>
              </w:rPr>
            </w:pPr>
            <w:r w:rsidRPr="009201B2">
              <w:rPr>
                <w:color w:val="000000"/>
                <w:lang w:val="lt-LT"/>
              </w:rPr>
              <w:t xml:space="preserve">- </w:t>
            </w:r>
            <w:r w:rsidR="00E0420B" w:rsidRPr="00E0420B">
              <w:rPr>
                <w:color w:val="000000"/>
                <w:lang w:val="lt-LT"/>
              </w:rPr>
              <w:t xml:space="preserve">atitinkamų teisėsaugos ir teisminių institucijų bei administracinių agentūrų darbuotojų ir ekspertų švietimas ir mokymas, atsižvelgiant į operatyvinius poreikius ir rizikos analizę, bendradarbiaujant su </w:t>
            </w:r>
            <w:r w:rsidR="00EB31E3" w:rsidRPr="00EB31E3">
              <w:rPr>
                <w:rFonts w:asciiTheme="majorBidi" w:hAnsiTheme="majorBidi" w:cstheme="majorBidi"/>
                <w:shd w:val="clear" w:color="auto" w:fill="FFFFFF"/>
                <w:lang w:val="lt-LT"/>
              </w:rPr>
              <w:t>Europos Sąjungos teisėsaugos mokymo agentūra</w:t>
            </w:r>
            <w:r w:rsidR="00EB31E3">
              <w:rPr>
                <w:rFonts w:asciiTheme="majorBidi" w:hAnsiTheme="majorBidi" w:cstheme="majorBidi"/>
                <w:shd w:val="clear" w:color="auto" w:fill="FFFFFF"/>
                <w:lang w:val="lt-LT"/>
              </w:rPr>
              <w:t xml:space="preserve"> (</w:t>
            </w:r>
            <w:r w:rsidR="00E0420B" w:rsidRPr="00EB31E3">
              <w:rPr>
                <w:rFonts w:asciiTheme="majorBidi" w:hAnsiTheme="majorBidi" w:cstheme="majorBidi"/>
                <w:lang w:val="lt-LT"/>
              </w:rPr>
              <w:t>CEPOL</w:t>
            </w:r>
            <w:r w:rsidR="00EB31E3">
              <w:rPr>
                <w:rFonts w:asciiTheme="majorBidi" w:hAnsiTheme="majorBidi" w:cstheme="majorBidi"/>
                <w:lang w:val="lt-LT"/>
              </w:rPr>
              <w:t>)</w:t>
            </w:r>
            <w:r w:rsidR="00E0420B" w:rsidRPr="00EB31E3">
              <w:rPr>
                <w:lang w:val="lt-LT"/>
              </w:rPr>
              <w:t xml:space="preserve"> </w:t>
            </w:r>
            <w:r w:rsidR="00E0420B" w:rsidRPr="00E0420B">
              <w:rPr>
                <w:color w:val="000000"/>
                <w:lang w:val="lt-LT"/>
              </w:rPr>
              <w:t>ir, kai taikytina, Europos teisėjų mokymo tinklu, įskaitant švietimą ir mokymą apie prevencijos politiką, ypatingą dėmesį skiriant pagrindinėms teisėms ir nediskriminavimui (II priedo 1</w:t>
            </w:r>
            <w:r w:rsidR="006C5C94">
              <w:rPr>
                <w:color w:val="000000"/>
                <w:lang w:val="lt-LT"/>
              </w:rPr>
              <w:t xml:space="preserve"> </w:t>
            </w:r>
            <w:r w:rsidR="00E0420B">
              <w:rPr>
                <w:color w:val="000000"/>
                <w:lang w:val="lt-LT"/>
              </w:rPr>
              <w:t xml:space="preserve">dalies </w:t>
            </w:r>
            <w:r w:rsidR="00E0420B" w:rsidRPr="00E0420B">
              <w:rPr>
                <w:color w:val="000000"/>
                <w:lang w:val="lt-LT"/>
              </w:rPr>
              <w:t>a, b, c punktai)</w:t>
            </w:r>
            <w:r w:rsidRPr="009201B2">
              <w:rPr>
                <w:color w:val="000000"/>
                <w:lang w:val="lt-LT"/>
              </w:rPr>
              <w:t>;</w:t>
            </w:r>
          </w:p>
          <w:p w14:paraId="78AED0D1" w14:textId="306D7B4D" w:rsidR="00A77B3E" w:rsidRPr="009201B2" w:rsidRDefault="00003C2A" w:rsidP="004A5EA0">
            <w:pPr>
              <w:spacing w:before="100"/>
              <w:jc w:val="both"/>
              <w:rPr>
                <w:color w:val="000000"/>
                <w:lang w:val="lt-LT"/>
              </w:rPr>
            </w:pPr>
            <w:r w:rsidRPr="009201B2">
              <w:rPr>
                <w:color w:val="000000"/>
                <w:lang w:val="lt-LT"/>
              </w:rPr>
              <w:t xml:space="preserve">- </w:t>
            </w:r>
            <w:r w:rsidR="00E0420B">
              <w:rPr>
                <w:color w:val="000000"/>
                <w:lang w:val="lt-LT"/>
              </w:rPr>
              <w:t>į</w:t>
            </w:r>
            <w:r w:rsidR="00E0420B" w:rsidRPr="00E0420B">
              <w:rPr>
                <w:color w:val="000000"/>
                <w:lang w:val="lt-LT"/>
              </w:rPr>
              <w:t>rangos, transporto priemonių, ryšių sistemų ir su saugumu susijusių įrenginių finansavimas (II  priedo</w:t>
            </w:r>
            <w:r w:rsidR="00E0420B">
              <w:rPr>
                <w:color w:val="000000"/>
                <w:lang w:val="lt-LT"/>
              </w:rPr>
              <w:t xml:space="preserve"> </w:t>
            </w:r>
            <w:r w:rsidR="00E0420B" w:rsidRPr="00E0420B">
              <w:rPr>
                <w:color w:val="000000"/>
                <w:lang w:val="lt-LT"/>
              </w:rPr>
              <w:t>1</w:t>
            </w:r>
            <w:r w:rsidR="00E0420B">
              <w:rPr>
                <w:color w:val="000000"/>
                <w:lang w:val="lt-LT"/>
              </w:rPr>
              <w:t xml:space="preserve"> dalies</w:t>
            </w:r>
            <w:r w:rsidR="00E0420B" w:rsidRPr="00E0420B">
              <w:rPr>
                <w:color w:val="000000"/>
                <w:lang w:val="lt-LT"/>
              </w:rPr>
              <w:t xml:space="preserve"> a, b, c punktai</w:t>
            </w:r>
            <w:r w:rsidRPr="009201B2">
              <w:rPr>
                <w:color w:val="000000"/>
                <w:lang w:val="lt-LT"/>
              </w:rPr>
              <w:t>).</w:t>
            </w:r>
          </w:p>
          <w:p w14:paraId="658DED84" w14:textId="10AB3772" w:rsidR="00A77B3E" w:rsidRPr="009201B2" w:rsidRDefault="00E0420B" w:rsidP="004A5EA0">
            <w:pPr>
              <w:spacing w:before="100"/>
              <w:jc w:val="both"/>
              <w:rPr>
                <w:color w:val="000000"/>
                <w:lang w:val="lt-LT"/>
              </w:rPr>
            </w:pPr>
            <w:r w:rsidRPr="00E0420B">
              <w:rPr>
                <w:color w:val="000000"/>
                <w:lang w:val="lt-LT"/>
              </w:rPr>
              <w:t>Programa bus pakankamai lanksti, kad būtų galima reaguoti į įvykius ir būsimus poreikius.</w:t>
            </w:r>
            <w:r>
              <w:rPr>
                <w:color w:val="000000"/>
                <w:lang w:val="lt-LT"/>
              </w:rPr>
              <w:t xml:space="preserve"> </w:t>
            </w:r>
          </w:p>
          <w:p w14:paraId="10DDCA15" w14:textId="77777777" w:rsidR="00A77B3E" w:rsidRPr="009201B2" w:rsidRDefault="00A77B3E">
            <w:pPr>
              <w:spacing w:before="100"/>
              <w:rPr>
                <w:color w:val="000000"/>
                <w:lang w:val="lt-LT"/>
              </w:rPr>
            </w:pPr>
          </w:p>
        </w:tc>
      </w:tr>
    </w:tbl>
    <w:p w14:paraId="7B6576F4" w14:textId="77777777" w:rsidR="00A77B3E" w:rsidRPr="009201B2" w:rsidRDefault="00A77B3E">
      <w:pPr>
        <w:spacing w:before="100"/>
        <w:rPr>
          <w:color w:val="000000"/>
          <w:lang w:val="lt-LT"/>
        </w:rPr>
        <w:sectPr w:rsidR="00A77B3E" w:rsidRPr="009201B2">
          <w:headerReference w:type="even" r:id="rId18"/>
          <w:headerReference w:type="default" r:id="rId19"/>
          <w:footerReference w:type="even" r:id="rId20"/>
          <w:footerReference w:type="default" r:id="rId21"/>
          <w:headerReference w:type="first" r:id="rId22"/>
          <w:footerReference w:type="first" r:id="rId23"/>
          <w:pgSz w:w="11906" w:h="16838"/>
          <w:pgMar w:top="720" w:right="936" w:bottom="864" w:left="720" w:header="0" w:footer="72" w:gutter="0"/>
          <w:cols w:space="720"/>
          <w:noEndnote/>
          <w:docGrid w:linePitch="360"/>
        </w:sectPr>
      </w:pPr>
    </w:p>
    <w:p w14:paraId="7E9162ED" w14:textId="77777777" w:rsidR="00A77B3E" w:rsidRPr="009201B2" w:rsidRDefault="00003C2A">
      <w:pPr>
        <w:spacing w:before="100"/>
        <w:rPr>
          <w:color w:val="000000"/>
          <w:lang w:val="lt-LT"/>
        </w:rPr>
      </w:pPr>
      <w:r w:rsidRPr="009201B2">
        <w:rPr>
          <w:color w:val="000000"/>
          <w:lang w:val="lt-LT"/>
        </w:rPr>
        <w:lastRenderedPageBreak/>
        <w:t>2.1. Konkretus tikslas 1. Keitimąsis informacija</w:t>
      </w:r>
    </w:p>
    <w:p w14:paraId="2A8D1AB4"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4" w:name="_Toc256000061"/>
      <w:r w:rsidRPr="009201B2">
        <w:rPr>
          <w:rFonts w:ascii="Times New Roman" w:hAnsi="Times New Roman" w:cs="Times New Roman"/>
          <w:b w:val="0"/>
          <w:color w:val="000000"/>
          <w:sz w:val="24"/>
          <w:lang w:val="lt-LT"/>
        </w:rPr>
        <w:t>2.1.2. Rodikliai</w:t>
      </w:r>
      <w:bookmarkEnd w:id="4"/>
    </w:p>
    <w:p w14:paraId="024647EE"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5D423573" w14:textId="77777777" w:rsidR="00A77B3E" w:rsidRPr="009201B2" w:rsidRDefault="00003C2A">
      <w:pPr>
        <w:pStyle w:val="Antrat4"/>
        <w:spacing w:before="100" w:after="0"/>
        <w:rPr>
          <w:b w:val="0"/>
          <w:color w:val="000000"/>
          <w:sz w:val="24"/>
          <w:lang w:val="lt-LT"/>
        </w:rPr>
      </w:pPr>
      <w:bookmarkStart w:id="5" w:name="_Toc256000062"/>
      <w:r w:rsidRPr="009201B2">
        <w:rPr>
          <w:b w:val="0"/>
          <w:color w:val="000000"/>
          <w:sz w:val="24"/>
          <w:lang w:val="lt-LT"/>
        </w:rPr>
        <w:t>1 lentelė. Produkto rodikliai</w:t>
      </w:r>
      <w:bookmarkEnd w:id="5"/>
    </w:p>
    <w:p w14:paraId="50095B43"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801"/>
        <w:gridCol w:w="1930"/>
        <w:gridCol w:w="2651"/>
        <w:gridCol w:w="2691"/>
      </w:tblGrid>
      <w:tr w:rsidR="00535D32" w:rsidRPr="009201B2" w14:paraId="1E94DFB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FF0C0F"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7E5273"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DC5B2"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05EED2" w14:textId="77777777" w:rsidR="00A77B3E" w:rsidRPr="009201B2" w:rsidRDefault="00003C2A">
            <w:pPr>
              <w:spacing w:before="100"/>
              <w:jc w:val="center"/>
              <w:rPr>
                <w:color w:val="000000"/>
                <w:sz w:val="20"/>
                <w:lang w:val="lt-LT"/>
              </w:rPr>
            </w:pPr>
            <w:r w:rsidRPr="009201B2">
              <w:rPr>
                <w:color w:val="000000"/>
                <w:sz w:val="20"/>
                <w:lang w:val="lt-LT"/>
              </w:rPr>
              <w:t>Tarpinė reikšmė (2024 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7B343"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r>
      <w:tr w:rsidR="00535D32" w:rsidRPr="009201B2" w14:paraId="6EF288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7492B" w14:textId="77777777" w:rsidR="00A77B3E" w:rsidRPr="009201B2" w:rsidRDefault="00003C2A">
            <w:pPr>
              <w:spacing w:before="100"/>
              <w:rPr>
                <w:color w:val="000000"/>
                <w:sz w:val="20"/>
                <w:lang w:val="lt-LT"/>
              </w:rPr>
            </w:pPr>
            <w:r w:rsidRPr="009201B2">
              <w:rPr>
                <w:color w:val="000000"/>
                <w:sz w:val="20"/>
                <w:lang w:val="lt-LT"/>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EE0B8" w14:textId="77777777" w:rsidR="00A77B3E" w:rsidRPr="009201B2" w:rsidRDefault="00003C2A">
            <w:pPr>
              <w:spacing w:before="100"/>
              <w:rPr>
                <w:color w:val="000000"/>
                <w:sz w:val="20"/>
                <w:lang w:val="lt-LT"/>
              </w:rPr>
            </w:pPr>
            <w:r w:rsidRPr="009201B2">
              <w:rPr>
                <w:color w:val="000000"/>
                <w:sz w:val="20"/>
                <w:lang w:val="lt-LT"/>
              </w:rPr>
              <w:t xml:space="preserve">Mokymo veiklos dalyvių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1FD47A"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719CC" w14:textId="77777777" w:rsidR="00A77B3E" w:rsidRPr="009201B2" w:rsidRDefault="00003C2A">
            <w:pPr>
              <w:spacing w:before="100"/>
              <w:jc w:val="right"/>
              <w:rPr>
                <w:color w:val="000000"/>
                <w:sz w:val="20"/>
                <w:lang w:val="lt-LT"/>
              </w:rPr>
            </w:pPr>
            <w:r w:rsidRPr="009201B2">
              <w:rPr>
                <w:color w:val="000000"/>
                <w:sz w:val="20"/>
                <w:lang w:val="lt-LT"/>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579E8" w14:textId="77777777" w:rsidR="00A77B3E" w:rsidRPr="009201B2" w:rsidRDefault="00003C2A">
            <w:pPr>
              <w:spacing w:before="100"/>
              <w:jc w:val="right"/>
              <w:rPr>
                <w:color w:val="000000"/>
                <w:sz w:val="20"/>
                <w:lang w:val="lt-LT"/>
              </w:rPr>
            </w:pPr>
            <w:r w:rsidRPr="009201B2">
              <w:rPr>
                <w:color w:val="000000"/>
                <w:sz w:val="20"/>
                <w:lang w:val="lt-LT"/>
              </w:rPr>
              <w:t>200</w:t>
            </w:r>
          </w:p>
        </w:tc>
      </w:tr>
      <w:tr w:rsidR="00535D32" w:rsidRPr="009201B2" w14:paraId="15DE16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5C50F1" w14:textId="77777777" w:rsidR="00A77B3E" w:rsidRPr="009201B2" w:rsidRDefault="00003C2A">
            <w:pPr>
              <w:spacing w:before="100"/>
              <w:rPr>
                <w:color w:val="000000"/>
                <w:sz w:val="20"/>
                <w:lang w:val="lt-LT"/>
              </w:rPr>
            </w:pPr>
            <w:r w:rsidRPr="009201B2">
              <w:rPr>
                <w:color w:val="000000"/>
                <w:sz w:val="20"/>
                <w:lang w:val="lt-LT"/>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A255D" w14:textId="77777777" w:rsidR="00A77B3E" w:rsidRPr="009201B2" w:rsidRDefault="00003C2A">
            <w:pPr>
              <w:spacing w:before="100"/>
              <w:rPr>
                <w:color w:val="000000"/>
                <w:sz w:val="20"/>
                <w:lang w:val="lt-LT"/>
              </w:rPr>
            </w:pPr>
            <w:r w:rsidRPr="009201B2">
              <w:rPr>
                <w:color w:val="000000"/>
                <w:sz w:val="20"/>
                <w:lang w:val="lt-LT"/>
              </w:rPr>
              <w:t xml:space="preserve">Ekspertų susitikimų / seminarų / studijų vizitų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82545"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AA2A8" w14:textId="77777777" w:rsidR="00A77B3E" w:rsidRPr="009201B2" w:rsidRDefault="00003C2A">
            <w:pPr>
              <w:spacing w:before="100"/>
              <w:jc w:val="right"/>
              <w:rPr>
                <w:color w:val="000000"/>
                <w:sz w:val="20"/>
                <w:lang w:val="lt-LT"/>
              </w:rPr>
            </w:pPr>
            <w:r w:rsidRPr="009201B2">
              <w:rPr>
                <w:color w:val="000000"/>
                <w:sz w:val="20"/>
                <w:lang w:val="lt-L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9ED1AA" w14:textId="77777777" w:rsidR="00A77B3E" w:rsidRPr="009201B2" w:rsidRDefault="00003C2A">
            <w:pPr>
              <w:spacing w:before="100"/>
              <w:jc w:val="right"/>
              <w:rPr>
                <w:color w:val="000000"/>
                <w:sz w:val="20"/>
                <w:lang w:val="lt-LT"/>
              </w:rPr>
            </w:pPr>
            <w:r w:rsidRPr="009201B2">
              <w:rPr>
                <w:color w:val="000000"/>
                <w:sz w:val="20"/>
                <w:lang w:val="lt-LT"/>
              </w:rPr>
              <w:t>12</w:t>
            </w:r>
          </w:p>
        </w:tc>
      </w:tr>
      <w:tr w:rsidR="00535D32" w:rsidRPr="009201B2" w14:paraId="0D6F51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22C72A" w14:textId="77777777" w:rsidR="00A77B3E" w:rsidRPr="009201B2" w:rsidRDefault="00003C2A">
            <w:pPr>
              <w:spacing w:before="100"/>
              <w:rPr>
                <w:color w:val="000000"/>
                <w:sz w:val="20"/>
                <w:lang w:val="lt-LT"/>
              </w:rPr>
            </w:pPr>
            <w:r w:rsidRPr="009201B2">
              <w:rPr>
                <w:color w:val="000000"/>
                <w:sz w:val="20"/>
                <w:lang w:val="lt-LT"/>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3F3ECB" w14:textId="77777777" w:rsidR="00A77B3E" w:rsidRPr="009201B2" w:rsidRDefault="00003C2A">
            <w:pPr>
              <w:spacing w:before="100"/>
              <w:rPr>
                <w:color w:val="000000"/>
                <w:sz w:val="20"/>
                <w:lang w:val="lt-LT"/>
              </w:rPr>
            </w:pPr>
            <w:r w:rsidRPr="009201B2">
              <w:rPr>
                <w:color w:val="000000"/>
                <w:sz w:val="20"/>
                <w:lang w:val="lt-LT"/>
              </w:rPr>
              <w:t>Sukurtų, pritaikytų ir (arba) prižiūrimų IRT sistemų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58D5DA"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10D972" w14:textId="77777777" w:rsidR="00A77B3E" w:rsidRPr="009201B2" w:rsidRDefault="00003C2A">
            <w:pPr>
              <w:spacing w:before="100"/>
              <w:jc w:val="right"/>
              <w:rPr>
                <w:color w:val="000000"/>
                <w:sz w:val="20"/>
                <w:lang w:val="lt-LT"/>
              </w:rPr>
            </w:pPr>
            <w:r w:rsidRPr="009201B2">
              <w:rPr>
                <w:color w:val="000000"/>
                <w:sz w:val="20"/>
                <w:lang w:val="lt-L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72CEAB" w14:textId="77777777" w:rsidR="00A77B3E" w:rsidRPr="009201B2" w:rsidRDefault="00003C2A">
            <w:pPr>
              <w:spacing w:before="100"/>
              <w:jc w:val="right"/>
              <w:rPr>
                <w:color w:val="000000"/>
                <w:sz w:val="20"/>
                <w:lang w:val="lt-LT"/>
              </w:rPr>
            </w:pPr>
            <w:r w:rsidRPr="009201B2">
              <w:rPr>
                <w:color w:val="000000"/>
                <w:sz w:val="20"/>
                <w:lang w:val="lt-LT"/>
              </w:rPr>
              <w:t>15</w:t>
            </w:r>
          </w:p>
        </w:tc>
      </w:tr>
      <w:tr w:rsidR="00535D32" w:rsidRPr="009201B2" w14:paraId="655E3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8F1FB7" w14:textId="77777777" w:rsidR="00A77B3E" w:rsidRPr="009201B2" w:rsidRDefault="00003C2A">
            <w:pPr>
              <w:spacing w:before="100"/>
              <w:rPr>
                <w:color w:val="000000"/>
                <w:sz w:val="20"/>
                <w:lang w:val="lt-LT"/>
              </w:rPr>
            </w:pPr>
            <w:r w:rsidRPr="009201B2">
              <w:rPr>
                <w:color w:val="000000"/>
                <w:sz w:val="20"/>
                <w:lang w:val="lt-LT"/>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C0650E" w14:textId="77777777" w:rsidR="00A77B3E" w:rsidRPr="009201B2" w:rsidRDefault="00003C2A">
            <w:pPr>
              <w:spacing w:before="100"/>
              <w:rPr>
                <w:color w:val="000000"/>
                <w:sz w:val="20"/>
                <w:lang w:val="lt-LT"/>
              </w:rPr>
            </w:pPr>
            <w:r w:rsidRPr="009201B2">
              <w:rPr>
                <w:color w:val="000000"/>
                <w:sz w:val="20"/>
                <w:lang w:val="lt-LT"/>
              </w:rPr>
              <w:t>Įsigytos įrangos vienetų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F19F0F"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FCC2D" w14:textId="77777777" w:rsidR="00A77B3E" w:rsidRPr="009201B2" w:rsidRDefault="00003C2A">
            <w:pPr>
              <w:spacing w:before="100"/>
              <w:jc w:val="right"/>
              <w:rPr>
                <w:color w:val="000000"/>
                <w:sz w:val="20"/>
                <w:lang w:val="lt-LT"/>
              </w:rPr>
            </w:pPr>
            <w:r w:rsidRPr="009201B2">
              <w:rPr>
                <w:color w:val="000000"/>
                <w:sz w:val="20"/>
                <w:lang w:val="lt-LT"/>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8D05B" w14:textId="77777777" w:rsidR="00A77B3E" w:rsidRPr="009201B2" w:rsidRDefault="00003C2A">
            <w:pPr>
              <w:spacing w:before="100"/>
              <w:jc w:val="right"/>
              <w:rPr>
                <w:color w:val="000000"/>
                <w:sz w:val="20"/>
                <w:lang w:val="lt-LT"/>
              </w:rPr>
            </w:pPr>
            <w:r w:rsidRPr="009201B2">
              <w:rPr>
                <w:color w:val="000000"/>
                <w:sz w:val="20"/>
                <w:lang w:val="lt-LT"/>
              </w:rPr>
              <w:t>212</w:t>
            </w:r>
          </w:p>
        </w:tc>
      </w:tr>
    </w:tbl>
    <w:p w14:paraId="6A5CFD99" w14:textId="77777777" w:rsidR="00A77B3E" w:rsidRPr="009201B2" w:rsidRDefault="00003C2A">
      <w:pPr>
        <w:spacing w:before="100"/>
        <w:rPr>
          <w:color w:val="000000"/>
          <w:lang w:val="lt-LT"/>
        </w:rPr>
      </w:pPr>
      <w:r w:rsidRPr="009201B2">
        <w:rPr>
          <w:color w:val="000000"/>
          <w:sz w:val="20"/>
          <w:lang w:val="lt-LT"/>
        </w:rPr>
        <w:br w:type="page"/>
      </w:r>
      <w:r w:rsidRPr="009201B2">
        <w:rPr>
          <w:color w:val="000000"/>
          <w:lang w:val="lt-LT"/>
        </w:rPr>
        <w:lastRenderedPageBreak/>
        <w:t>2.1. Konkretus tikslas 1. Keitimąsis informacija</w:t>
      </w:r>
    </w:p>
    <w:p w14:paraId="0C79CC86" w14:textId="77777777" w:rsidR="00A77B3E" w:rsidRPr="009201B2" w:rsidRDefault="00003C2A">
      <w:pPr>
        <w:spacing w:before="100"/>
        <w:rPr>
          <w:color w:val="000000"/>
          <w:sz w:val="0"/>
          <w:lang w:val="lt-LT"/>
        </w:rPr>
      </w:pPr>
      <w:r w:rsidRPr="009201B2">
        <w:rPr>
          <w:color w:val="000000"/>
          <w:lang w:val="lt-LT"/>
        </w:rPr>
        <w:t>2.1.2. Rodikliai</w:t>
      </w:r>
    </w:p>
    <w:p w14:paraId="37A7E069"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3E58EAAB" w14:textId="77777777" w:rsidR="00A77B3E" w:rsidRPr="009201B2" w:rsidRDefault="00003C2A">
      <w:pPr>
        <w:pStyle w:val="Antrat4"/>
        <w:spacing w:before="100" w:after="0"/>
        <w:rPr>
          <w:b w:val="0"/>
          <w:color w:val="000000"/>
          <w:sz w:val="24"/>
          <w:lang w:val="lt-LT"/>
        </w:rPr>
      </w:pPr>
      <w:bookmarkStart w:id="6" w:name="_Toc256000063"/>
      <w:r w:rsidRPr="009201B2">
        <w:rPr>
          <w:b w:val="0"/>
          <w:color w:val="000000"/>
          <w:sz w:val="24"/>
          <w:lang w:val="lt-LT"/>
        </w:rPr>
        <w:t>2 lentelė. Rezultato rodikliai</w:t>
      </w:r>
      <w:bookmarkEnd w:id="6"/>
    </w:p>
    <w:p w14:paraId="742F89BE"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535D32" w:rsidRPr="009201B2" w14:paraId="0318F50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C4463E"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C79B0E"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943C75"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E01C36" w14:textId="77777777" w:rsidR="00A77B3E" w:rsidRPr="009201B2" w:rsidRDefault="00003C2A">
            <w:pPr>
              <w:spacing w:before="100"/>
              <w:jc w:val="center"/>
              <w:rPr>
                <w:color w:val="000000"/>
                <w:sz w:val="20"/>
                <w:lang w:val="lt-LT"/>
              </w:rPr>
            </w:pPr>
            <w:r w:rsidRPr="009201B2">
              <w:rPr>
                <w:color w:val="000000"/>
                <w:sz w:val="20"/>
                <w:lang w:val="lt-LT"/>
              </w:rPr>
              <w:t>Pradinė reikšmė</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716F1" w14:textId="77777777" w:rsidR="00A77B3E" w:rsidRPr="009201B2" w:rsidRDefault="00003C2A">
            <w:pPr>
              <w:spacing w:before="100"/>
              <w:jc w:val="center"/>
              <w:rPr>
                <w:color w:val="000000"/>
                <w:sz w:val="20"/>
                <w:lang w:val="lt-LT"/>
              </w:rPr>
            </w:pPr>
            <w:r w:rsidRPr="009201B2">
              <w:rPr>
                <w:color w:val="000000"/>
                <w:sz w:val="20"/>
                <w:lang w:val="lt-LT"/>
              </w:rPr>
              <w:t>Pradinės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7CE6E" w14:textId="77777777" w:rsidR="00A77B3E" w:rsidRPr="009201B2" w:rsidRDefault="00003C2A">
            <w:pPr>
              <w:spacing w:before="100"/>
              <w:jc w:val="center"/>
              <w:rPr>
                <w:color w:val="000000"/>
                <w:sz w:val="20"/>
                <w:lang w:val="lt-LT"/>
              </w:rPr>
            </w:pPr>
            <w:r w:rsidRPr="009201B2">
              <w:rPr>
                <w:color w:val="000000"/>
                <w:sz w:val="20"/>
                <w:lang w:val="lt-LT"/>
              </w:rPr>
              <w:t>Ataskaitiniai metai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7123F"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F3F53E" w14:textId="77777777" w:rsidR="00A77B3E" w:rsidRPr="009201B2" w:rsidRDefault="00003C2A">
            <w:pPr>
              <w:spacing w:before="100"/>
              <w:jc w:val="center"/>
              <w:rPr>
                <w:color w:val="000000"/>
                <w:sz w:val="20"/>
                <w:lang w:val="lt-LT"/>
              </w:rPr>
            </w:pPr>
            <w:r w:rsidRPr="009201B2">
              <w:rPr>
                <w:color w:val="000000"/>
                <w:sz w:val="20"/>
                <w:lang w:val="lt-LT"/>
              </w:rPr>
              <w:t>Galutinės skirtas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143D31" w14:textId="77777777" w:rsidR="00A77B3E" w:rsidRPr="009201B2" w:rsidRDefault="00003C2A">
            <w:pPr>
              <w:spacing w:before="100"/>
              <w:jc w:val="center"/>
              <w:rPr>
                <w:color w:val="000000"/>
                <w:sz w:val="20"/>
                <w:lang w:val="lt-LT"/>
              </w:rPr>
            </w:pPr>
            <w:r w:rsidRPr="009201B2">
              <w:rPr>
                <w:color w:val="000000"/>
                <w:sz w:val="20"/>
                <w:lang w:val="lt-LT"/>
              </w:rPr>
              <w:t>Duomenų šaltinis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C4967" w14:textId="77777777" w:rsidR="00A77B3E" w:rsidRPr="009201B2" w:rsidRDefault="00003C2A">
            <w:pPr>
              <w:spacing w:before="100"/>
              <w:rPr>
                <w:color w:val="000000"/>
                <w:sz w:val="20"/>
                <w:lang w:val="lt-LT"/>
              </w:rPr>
            </w:pPr>
            <w:r w:rsidRPr="009201B2">
              <w:rPr>
                <w:color w:val="000000"/>
                <w:sz w:val="20"/>
                <w:lang w:val="lt-LT"/>
              </w:rPr>
              <w:t>Pastabos</w:t>
            </w:r>
          </w:p>
        </w:tc>
      </w:tr>
      <w:tr w:rsidR="00535D32" w:rsidRPr="009201B2" w14:paraId="18AA08A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BA8C9" w14:textId="77777777" w:rsidR="00A77B3E" w:rsidRPr="009201B2" w:rsidRDefault="00003C2A">
            <w:pPr>
              <w:spacing w:before="100"/>
              <w:rPr>
                <w:color w:val="000000"/>
                <w:sz w:val="20"/>
                <w:lang w:val="lt-LT"/>
              </w:rPr>
            </w:pPr>
            <w:r w:rsidRPr="009201B2">
              <w:rPr>
                <w:color w:val="000000"/>
                <w:sz w:val="20"/>
                <w:lang w:val="lt-LT"/>
              </w:rPr>
              <w:t>R.1.5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7122B" w14:textId="77777777" w:rsidR="00A77B3E" w:rsidRPr="009201B2" w:rsidRDefault="00003C2A">
            <w:pPr>
              <w:spacing w:before="100"/>
              <w:rPr>
                <w:color w:val="000000"/>
                <w:sz w:val="20"/>
                <w:lang w:val="lt-LT"/>
              </w:rPr>
            </w:pPr>
            <w:r w:rsidRPr="009201B2">
              <w:rPr>
                <w:color w:val="000000"/>
                <w:sz w:val="20"/>
                <w:lang w:val="lt-LT"/>
              </w:rPr>
              <w:t xml:space="preserve">IRT sistemų, kurios tapo sąveikios valstybėse narėse ir (arba) su saugumui svarbiomis ES ir decentralizuotomis informacinėmis sistemomis ir (arba) su tarptautinėmis duomenų bazėmis,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0E2CD"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98A99"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6C4EE"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DC4E3"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71DEC" w14:textId="77777777" w:rsidR="00A77B3E" w:rsidRPr="009201B2" w:rsidRDefault="00003C2A">
            <w:pPr>
              <w:spacing w:before="100"/>
              <w:jc w:val="center"/>
              <w:rPr>
                <w:color w:val="000000"/>
                <w:sz w:val="20"/>
                <w:lang w:val="lt-LT"/>
              </w:rPr>
            </w:pPr>
            <w:r w:rsidRPr="009201B2">
              <w:rPr>
                <w:color w:val="000000"/>
                <w:sz w:val="20"/>
                <w:lang w:val="lt-LT"/>
              </w:rPr>
              <w:t>15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397F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99F2A"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C168D" w14:textId="77777777" w:rsidR="00A77B3E" w:rsidRPr="009201B2" w:rsidRDefault="00A77B3E">
            <w:pPr>
              <w:spacing w:before="100"/>
              <w:rPr>
                <w:color w:val="000000"/>
                <w:sz w:val="20"/>
                <w:lang w:val="lt-LT"/>
              </w:rPr>
            </w:pPr>
          </w:p>
        </w:tc>
      </w:tr>
      <w:tr w:rsidR="00535D32" w:rsidRPr="009201B2" w14:paraId="0F1D14A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A9196" w14:textId="77777777" w:rsidR="00A77B3E" w:rsidRPr="009201B2" w:rsidRDefault="00003C2A">
            <w:pPr>
              <w:spacing w:before="100"/>
              <w:rPr>
                <w:color w:val="000000"/>
                <w:sz w:val="20"/>
                <w:lang w:val="lt-LT"/>
              </w:rPr>
            </w:pPr>
            <w:r w:rsidRPr="009201B2">
              <w:rPr>
                <w:color w:val="000000"/>
                <w:sz w:val="20"/>
                <w:lang w:val="lt-LT"/>
              </w:rPr>
              <w:t>R.1.6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FF3B1" w14:textId="77777777" w:rsidR="00A77B3E" w:rsidRPr="009201B2" w:rsidRDefault="00003C2A">
            <w:pPr>
              <w:spacing w:before="100"/>
              <w:rPr>
                <w:color w:val="000000"/>
                <w:sz w:val="20"/>
                <w:lang w:val="lt-LT"/>
              </w:rPr>
            </w:pPr>
            <w:r w:rsidRPr="009201B2">
              <w:rPr>
                <w:color w:val="000000"/>
                <w:sz w:val="20"/>
                <w:lang w:val="lt-LT"/>
              </w:rPr>
              <w:t>Administracinių vienetų, kurie sukūrė naujus arba pritaikė esamus keitimosi informacija su kitomis valstybėmis narėmis / ES agentūromis / tarptautinėmis organizacijomis / trečiosiomis šalimis mechanizmus / procedūras / priemones / gaires,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4C31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D1183"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5A55C"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57AEF"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A0BB9" w14:textId="77777777" w:rsidR="00A77B3E" w:rsidRPr="009201B2" w:rsidRDefault="00003C2A">
            <w:pPr>
              <w:spacing w:before="100"/>
              <w:jc w:val="center"/>
              <w:rPr>
                <w:color w:val="000000"/>
                <w:sz w:val="20"/>
                <w:lang w:val="lt-LT"/>
              </w:rPr>
            </w:pPr>
            <w:r w:rsidRPr="009201B2">
              <w:rPr>
                <w:color w:val="000000"/>
                <w:sz w:val="20"/>
                <w:lang w:val="lt-LT"/>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09D70"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4945F"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CF3AC" w14:textId="77777777" w:rsidR="00A77B3E" w:rsidRPr="009201B2" w:rsidRDefault="00A77B3E">
            <w:pPr>
              <w:spacing w:before="100"/>
              <w:rPr>
                <w:color w:val="000000"/>
                <w:sz w:val="20"/>
                <w:lang w:val="lt-LT"/>
              </w:rPr>
            </w:pPr>
          </w:p>
        </w:tc>
      </w:tr>
      <w:tr w:rsidR="00535D32" w:rsidRPr="009201B2" w14:paraId="73F6570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E3E94" w14:textId="77777777" w:rsidR="00A77B3E" w:rsidRPr="009201B2" w:rsidRDefault="00003C2A">
            <w:pPr>
              <w:spacing w:before="100"/>
              <w:rPr>
                <w:color w:val="000000"/>
                <w:sz w:val="20"/>
                <w:lang w:val="lt-LT"/>
              </w:rPr>
            </w:pPr>
            <w:r w:rsidRPr="009201B2">
              <w:rPr>
                <w:color w:val="000000"/>
                <w:sz w:val="20"/>
                <w:lang w:val="lt-LT"/>
              </w:rPr>
              <w:t>R.1.7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3B3E4" w14:textId="77777777" w:rsidR="00A77B3E" w:rsidRPr="009201B2" w:rsidRDefault="00003C2A">
            <w:pPr>
              <w:spacing w:before="100"/>
              <w:rPr>
                <w:color w:val="000000"/>
                <w:sz w:val="20"/>
                <w:lang w:val="lt-LT"/>
              </w:rPr>
            </w:pPr>
            <w:r w:rsidRPr="009201B2">
              <w:rPr>
                <w:color w:val="000000"/>
                <w:sz w:val="20"/>
                <w:lang w:val="lt-LT"/>
              </w:rPr>
              <w:t>Dalyvių, kurie mano, kad mokymai buvo naudingi jų darbui,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922E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C88B4"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52F3D" w14:textId="77777777" w:rsidR="00A77B3E" w:rsidRPr="009201B2" w:rsidRDefault="00003C2A">
            <w:pPr>
              <w:spacing w:before="100"/>
              <w:rPr>
                <w:color w:val="000000"/>
                <w:sz w:val="20"/>
                <w:lang w:val="lt-LT"/>
              </w:rPr>
            </w:pPr>
            <w:r w:rsidRPr="009201B2">
              <w:rPr>
                <w:color w:val="000000"/>
                <w:sz w:val="20"/>
                <w:lang w:val="lt-LT"/>
              </w:rPr>
              <w:t>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22CCC"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D6ED7" w14:textId="77777777" w:rsidR="00A77B3E" w:rsidRPr="009201B2" w:rsidRDefault="00003C2A">
            <w:pPr>
              <w:spacing w:before="100"/>
              <w:jc w:val="center"/>
              <w:rPr>
                <w:color w:val="000000"/>
                <w:sz w:val="20"/>
                <w:lang w:val="lt-LT"/>
              </w:rPr>
            </w:pPr>
            <w:r w:rsidRPr="009201B2">
              <w:rPr>
                <w:color w:val="000000"/>
                <w:sz w:val="20"/>
                <w:lang w:val="lt-LT"/>
              </w:rPr>
              <w:t>150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21B0D"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49F9C"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BEE00" w14:textId="77777777" w:rsidR="00A77B3E" w:rsidRPr="009201B2" w:rsidRDefault="00A77B3E">
            <w:pPr>
              <w:spacing w:before="100"/>
              <w:rPr>
                <w:color w:val="000000"/>
                <w:sz w:val="20"/>
                <w:lang w:val="lt-LT"/>
              </w:rPr>
            </w:pPr>
          </w:p>
        </w:tc>
      </w:tr>
      <w:tr w:rsidR="00535D32" w:rsidRPr="009201B2" w14:paraId="5B9663B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5B05D" w14:textId="77777777" w:rsidR="00A77B3E" w:rsidRPr="009201B2" w:rsidRDefault="00003C2A">
            <w:pPr>
              <w:spacing w:before="100"/>
              <w:rPr>
                <w:color w:val="000000"/>
                <w:sz w:val="20"/>
                <w:lang w:val="lt-LT"/>
              </w:rPr>
            </w:pPr>
            <w:r w:rsidRPr="009201B2">
              <w:rPr>
                <w:color w:val="000000"/>
                <w:sz w:val="20"/>
                <w:lang w:val="lt-LT"/>
              </w:rPr>
              <w:t>R.1.8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BAD56" w14:textId="77777777" w:rsidR="00A77B3E" w:rsidRPr="009201B2" w:rsidRDefault="00003C2A">
            <w:pPr>
              <w:spacing w:before="100"/>
              <w:rPr>
                <w:color w:val="000000"/>
                <w:sz w:val="20"/>
                <w:lang w:val="lt-LT"/>
              </w:rPr>
            </w:pPr>
            <w:r w:rsidRPr="009201B2">
              <w:rPr>
                <w:color w:val="000000"/>
                <w:sz w:val="20"/>
                <w:lang w:val="lt-LT"/>
              </w:rPr>
              <w:t>Dalyvių, kurie praėjus trims mėnesiams po mokymo veiklos praneša, kad naudojasi mokymo metu įgytais įgūdžiais ir kompetencijomis,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59602"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8956E"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97A79" w14:textId="77777777" w:rsidR="00A77B3E" w:rsidRPr="009201B2" w:rsidRDefault="00003C2A">
            <w:pPr>
              <w:spacing w:before="100"/>
              <w:rPr>
                <w:color w:val="000000"/>
                <w:sz w:val="20"/>
                <w:lang w:val="lt-LT"/>
              </w:rPr>
            </w:pPr>
            <w:r w:rsidRPr="009201B2">
              <w:rPr>
                <w:color w:val="000000"/>
                <w:sz w:val="20"/>
                <w:lang w:val="lt-LT"/>
              </w:rPr>
              <w:t>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C41CF"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57178" w14:textId="77777777" w:rsidR="00A77B3E" w:rsidRPr="009201B2" w:rsidRDefault="00003C2A">
            <w:pPr>
              <w:spacing w:before="100"/>
              <w:jc w:val="center"/>
              <w:rPr>
                <w:color w:val="000000"/>
                <w:sz w:val="20"/>
                <w:lang w:val="lt-LT"/>
              </w:rPr>
            </w:pPr>
            <w:r w:rsidRPr="009201B2">
              <w:rPr>
                <w:color w:val="000000"/>
                <w:sz w:val="20"/>
                <w:lang w:val="lt-LT"/>
              </w:rPr>
              <w:t>145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F0F8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40038"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92B14" w14:textId="77777777" w:rsidR="00A77B3E" w:rsidRPr="009201B2" w:rsidRDefault="00A77B3E">
            <w:pPr>
              <w:spacing w:before="100"/>
              <w:rPr>
                <w:color w:val="000000"/>
                <w:sz w:val="20"/>
                <w:lang w:val="lt-LT"/>
              </w:rPr>
            </w:pPr>
          </w:p>
        </w:tc>
      </w:tr>
    </w:tbl>
    <w:p w14:paraId="337C98A8" w14:textId="77777777" w:rsidR="00A77B3E" w:rsidRPr="009201B2" w:rsidRDefault="00A77B3E">
      <w:pPr>
        <w:spacing w:before="100"/>
        <w:rPr>
          <w:color w:val="000000"/>
          <w:sz w:val="20"/>
          <w:lang w:val="lt-LT"/>
        </w:rPr>
        <w:sectPr w:rsidR="00A77B3E" w:rsidRPr="009201B2">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864" w:left="936" w:header="288" w:footer="72" w:gutter="0"/>
          <w:cols w:space="720"/>
          <w:noEndnote/>
          <w:docGrid w:linePitch="360"/>
        </w:sectPr>
      </w:pPr>
    </w:p>
    <w:p w14:paraId="4DF946D0" w14:textId="77777777" w:rsidR="00A77B3E" w:rsidRPr="009201B2" w:rsidRDefault="00003C2A">
      <w:pPr>
        <w:spacing w:before="100"/>
        <w:rPr>
          <w:color w:val="000000"/>
          <w:sz w:val="0"/>
          <w:lang w:val="lt-LT"/>
        </w:rPr>
      </w:pPr>
      <w:r w:rsidRPr="009201B2">
        <w:rPr>
          <w:color w:val="000000"/>
          <w:lang w:val="lt-LT"/>
        </w:rPr>
        <w:lastRenderedPageBreak/>
        <w:t>2.1. Konkretus tikslas 1. Keitimąsis informacija</w:t>
      </w:r>
    </w:p>
    <w:p w14:paraId="6F1E74F9"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7" w:name="_Toc256000064"/>
      <w:r w:rsidRPr="009201B2">
        <w:rPr>
          <w:rFonts w:ascii="Times New Roman" w:hAnsi="Times New Roman" w:cs="Times New Roman"/>
          <w:b w:val="0"/>
          <w:color w:val="000000"/>
          <w:sz w:val="24"/>
          <w:lang w:val="lt-LT"/>
        </w:rPr>
        <w:t>2.1.3. Preliminarus programos išteklių (ES) paskirstymas pagal intervencinių priemonių rūšį</w:t>
      </w:r>
      <w:bookmarkEnd w:id="7"/>
    </w:p>
    <w:p w14:paraId="7E7A655F" w14:textId="77777777" w:rsidR="00A77B3E" w:rsidRPr="009201B2" w:rsidRDefault="00003C2A">
      <w:pPr>
        <w:spacing w:before="100"/>
        <w:rPr>
          <w:color w:val="000000"/>
          <w:lang w:val="lt-LT"/>
        </w:rPr>
      </w:pPr>
      <w:r w:rsidRPr="009201B2">
        <w:rPr>
          <w:color w:val="000000"/>
          <w:lang w:val="lt-LT"/>
        </w:rPr>
        <w:t>Nuoroda: BNR 22 straipsnio 5 dalis ir PMIF reglamento 16 straipsnio 12 dalis, VSF reglamento 13 straipsnio 12 dalis arba SVVP reglamento 13 straipsnio 18 dalis.</w:t>
      </w:r>
    </w:p>
    <w:p w14:paraId="388FE386" w14:textId="77777777" w:rsidR="00A77B3E" w:rsidRPr="009201B2" w:rsidRDefault="00003C2A">
      <w:pPr>
        <w:pStyle w:val="Antrat4"/>
        <w:spacing w:before="100" w:after="0"/>
        <w:rPr>
          <w:b w:val="0"/>
          <w:color w:val="000000"/>
          <w:sz w:val="24"/>
          <w:lang w:val="lt-LT"/>
        </w:rPr>
      </w:pPr>
      <w:bookmarkStart w:id="8" w:name="_Toc256000065"/>
      <w:r w:rsidRPr="009201B2">
        <w:rPr>
          <w:b w:val="0"/>
          <w:color w:val="000000"/>
          <w:sz w:val="24"/>
          <w:lang w:val="lt-LT"/>
        </w:rPr>
        <w:t>3 lentelė. Preliminarus paskirstymas</w:t>
      </w:r>
      <w:bookmarkEnd w:id="8"/>
    </w:p>
    <w:p w14:paraId="031868D2"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1701"/>
        <w:gridCol w:w="2120"/>
      </w:tblGrid>
      <w:tr w:rsidR="00535D32" w:rsidRPr="009201B2" w14:paraId="0A4F2FD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9EB4C" w14:textId="77777777" w:rsidR="00A77B3E" w:rsidRPr="009201B2" w:rsidRDefault="00003C2A">
            <w:pPr>
              <w:spacing w:before="100"/>
              <w:rPr>
                <w:color w:val="000000"/>
                <w:sz w:val="20"/>
                <w:lang w:val="lt-LT"/>
              </w:rPr>
            </w:pPr>
            <w:r w:rsidRPr="009201B2">
              <w:rPr>
                <w:color w:val="000000"/>
                <w:sz w:val="20"/>
                <w:lang w:val="lt-LT"/>
              </w:rPr>
              <w:t>Priemonių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4A67F" w14:textId="77777777" w:rsidR="00A77B3E" w:rsidRPr="009201B2" w:rsidRDefault="00003C2A">
            <w:pPr>
              <w:spacing w:before="100"/>
              <w:rPr>
                <w:color w:val="000000"/>
                <w:sz w:val="20"/>
                <w:lang w:val="lt-LT"/>
              </w:rPr>
            </w:pPr>
            <w:r w:rsidRPr="009201B2">
              <w:rPr>
                <w:color w:val="000000"/>
                <w:sz w:val="20"/>
                <w:lang w:val="lt-LT"/>
              </w:rPr>
              <w:t>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3FF1F" w14:textId="77777777" w:rsidR="00A77B3E" w:rsidRPr="009201B2" w:rsidRDefault="00003C2A">
            <w:pPr>
              <w:spacing w:before="100"/>
              <w:jc w:val="right"/>
              <w:rPr>
                <w:color w:val="000000"/>
                <w:sz w:val="20"/>
                <w:lang w:val="lt-LT"/>
              </w:rPr>
            </w:pPr>
            <w:r w:rsidRPr="009201B2">
              <w:rPr>
                <w:color w:val="000000"/>
                <w:sz w:val="20"/>
                <w:lang w:val="lt-LT"/>
              </w:rPr>
              <w:t>Orientacinė suma (eurais)</w:t>
            </w:r>
          </w:p>
        </w:tc>
      </w:tr>
      <w:tr w:rsidR="00535D32" w:rsidRPr="009201B2" w14:paraId="657A30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A199A"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4F706" w14:textId="77777777" w:rsidR="00A77B3E" w:rsidRPr="009201B2" w:rsidRDefault="00003C2A">
            <w:pPr>
              <w:spacing w:before="100"/>
              <w:rPr>
                <w:color w:val="000000"/>
                <w:sz w:val="20"/>
                <w:lang w:val="lt-LT"/>
              </w:rPr>
            </w:pPr>
            <w:r w:rsidRPr="009201B2">
              <w:rPr>
                <w:color w:val="000000"/>
                <w:sz w:val="20"/>
                <w:lang w:val="lt-LT"/>
              </w:rPr>
              <w:t>001.IRT sistemos, sąveikumas, duomenų kokybė (išskyrus įrangą)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55EFE" w14:textId="77777777" w:rsidR="00A77B3E" w:rsidRPr="009201B2" w:rsidRDefault="00003C2A">
            <w:pPr>
              <w:spacing w:before="100"/>
              <w:jc w:val="right"/>
              <w:rPr>
                <w:color w:val="000000"/>
                <w:sz w:val="20"/>
                <w:lang w:val="lt-LT"/>
              </w:rPr>
            </w:pPr>
            <w:r w:rsidRPr="009201B2">
              <w:rPr>
                <w:color w:val="000000"/>
                <w:sz w:val="20"/>
                <w:lang w:val="lt-LT"/>
              </w:rPr>
              <w:t>12 137 400,00</w:t>
            </w:r>
          </w:p>
        </w:tc>
      </w:tr>
      <w:tr w:rsidR="00535D32" w:rsidRPr="009201B2" w14:paraId="3026C5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121B2"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65EDC" w14:textId="77777777" w:rsidR="00A77B3E" w:rsidRPr="009201B2" w:rsidRDefault="00003C2A">
            <w:pPr>
              <w:spacing w:before="100"/>
              <w:rPr>
                <w:color w:val="000000"/>
                <w:sz w:val="20"/>
                <w:lang w:val="lt-LT"/>
              </w:rPr>
            </w:pPr>
            <w:r w:rsidRPr="009201B2">
              <w:rPr>
                <w:color w:val="000000"/>
                <w:sz w:val="20"/>
                <w:lang w:val="lt-LT"/>
              </w:rPr>
              <w:t>002.Tinklai, kompetencijos centrai, bendradarbiavimo struktūros, bendri veiksmai ir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21CC6"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7AFDCB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B41E9"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C7856" w14:textId="77777777" w:rsidR="00A77B3E" w:rsidRPr="009201B2" w:rsidRDefault="00003C2A">
            <w:pPr>
              <w:spacing w:before="100"/>
              <w:rPr>
                <w:color w:val="000000"/>
                <w:sz w:val="20"/>
                <w:lang w:val="lt-LT"/>
              </w:rPr>
            </w:pPr>
            <w:r w:rsidRPr="009201B2">
              <w:rPr>
                <w:color w:val="000000"/>
                <w:sz w:val="20"/>
                <w:lang w:val="lt-LT"/>
              </w:rPr>
              <w:t>003.Jungtinės tyrimų grupės arba kitos bendros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15C47"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0EBB86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390DD"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9608D" w14:textId="77777777" w:rsidR="00A77B3E" w:rsidRPr="009201B2" w:rsidRDefault="00003C2A">
            <w:pPr>
              <w:spacing w:before="100"/>
              <w:rPr>
                <w:color w:val="000000"/>
                <w:sz w:val="20"/>
                <w:lang w:val="lt-LT"/>
              </w:rPr>
            </w:pPr>
            <w:r w:rsidRPr="009201B2">
              <w:rPr>
                <w:color w:val="000000"/>
                <w:sz w:val="20"/>
                <w:lang w:val="lt-LT"/>
              </w:rPr>
              <w:t>004.Ekspertų komandiravimas arba siuntimas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9DB37" w14:textId="77777777" w:rsidR="00A77B3E" w:rsidRPr="009201B2" w:rsidRDefault="00003C2A">
            <w:pPr>
              <w:spacing w:before="100"/>
              <w:jc w:val="right"/>
              <w:rPr>
                <w:color w:val="000000"/>
                <w:sz w:val="20"/>
                <w:lang w:val="lt-LT"/>
              </w:rPr>
            </w:pPr>
            <w:r w:rsidRPr="009201B2">
              <w:rPr>
                <w:color w:val="000000"/>
                <w:sz w:val="20"/>
                <w:lang w:val="lt-LT"/>
              </w:rPr>
              <w:t>37 500,00</w:t>
            </w:r>
          </w:p>
        </w:tc>
      </w:tr>
      <w:tr w:rsidR="00535D32" w:rsidRPr="009201B2" w14:paraId="579808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93038"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BA352" w14:textId="77777777" w:rsidR="00A77B3E" w:rsidRPr="009201B2" w:rsidRDefault="00003C2A">
            <w:pPr>
              <w:spacing w:before="100"/>
              <w:rPr>
                <w:color w:val="000000"/>
                <w:sz w:val="20"/>
                <w:lang w:val="lt-LT"/>
              </w:rPr>
            </w:pPr>
            <w:r w:rsidRPr="009201B2">
              <w:rPr>
                <w:color w:val="000000"/>
                <w:sz w:val="20"/>
                <w:lang w:val="lt-LT"/>
              </w:rPr>
              <w:t>005.Mokymas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5457F" w14:textId="77777777" w:rsidR="00A77B3E" w:rsidRPr="009201B2" w:rsidRDefault="00003C2A">
            <w:pPr>
              <w:spacing w:before="100"/>
              <w:jc w:val="right"/>
              <w:rPr>
                <w:color w:val="000000"/>
                <w:sz w:val="20"/>
                <w:lang w:val="lt-LT"/>
              </w:rPr>
            </w:pPr>
            <w:r w:rsidRPr="009201B2">
              <w:rPr>
                <w:color w:val="000000"/>
                <w:sz w:val="20"/>
                <w:lang w:val="lt-LT"/>
              </w:rPr>
              <w:t>300 000,00</w:t>
            </w:r>
          </w:p>
        </w:tc>
      </w:tr>
      <w:tr w:rsidR="00535D32" w:rsidRPr="009201B2" w14:paraId="0DFD24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FED1D"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86F90" w14:textId="77777777" w:rsidR="00A77B3E" w:rsidRPr="009201B2" w:rsidRDefault="00003C2A">
            <w:pPr>
              <w:spacing w:before="100"/>
              <w:rPr>
                <w:color w:val="000000"/>
                <w:sz w:val="20"/>
                <w:lang w:val="lt-LT"/>
              </w:rPr>
            </w:pPr>
            <w:r w:rsidRPr="009201B2">
              <w:rPr>
                <w:color w:val="000000"/>
                <w:sz w:val="20"/>
                <w:lang w:val="lt-LT"/>
              </w:rPr>
              <w:t>006.Keitimasis geriausios praktikos pavyzdžiais, praktiniai seminarai, konferencijos, renginiai, informuotumo didinimo kampanijos, komunikacijos veikla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CD53B" w14:textId="77777777" w:rsidR="00A77B3E" w:rsidRPr="009201B2" w:rsidRDefault="00003C2A">
            <w:pPr>
              <w:spacing w:before="100"/>
              <w:jc w:val="right"/>
              <w:rPr>
                <w:color w:val="000000"/>
                <w:sz w:val="20"/>
                <w:lang w:val="lt-LT"/>
              </w:rPr>
            </w:pPr>
            <w:r w:rsidRPr="009201B2">
              <w:rPr>
                <w:color w:val="000000"/>
                <w:sz w:val="20"/>
                <w:lang w:val="lt-LT"/>
              </w:rPr>
              <w:t>562 500,00</w:t>
            </w:r>
          </w:p>
        </w:tc>
      </w:tr>
      <w:tr w:rsidR="00535D32" w:rsidRPr="009201B2" w14:paraId="14209C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4BA23"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5B978" w14:textId="77777777" w:rsidR="00A77B3E" w:rsidRPr="009201B2" w:rsidRDefault="00003C2A">
            <w:pPr>
              <w:spacing w:before="100"/>
              <w:rPr>
                <w:color w:val="000000"/>
                <w:sz w:val="20"/>
                <w:lang w:val="lt-LT"/>
              </w:rPr>
            </w:pPr>
            <w:r w:rsidRPr="009201B2">
              <w:rPr>
                <w:color w:val="000000"/>
                <w:sz w:val="20"/>
                <w:lang w:val="lt-LT"/>
              </w:rPr>
              <w:t>007.Tyrimai, bandomieji projektai, rizikos vertinimai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8E186" w14:textId="77777777" w:rsidR="00A77B3E" w:rsidRPr="009201B2" w:rsidRDefault="00003C2A">
            <w:pPr>
              <w:spacing w:before="100"/>
              <w:jc w:val="right"/>
              <w:rPr>
                <w:color w:val="000000"/>
                <w:sz w:val="20"/>
                <w:lang w:val="lt-LT"/>
              </w:rPr>
            </w:pPr>
            <w:r w:rsidRPr="009201B2">
              <w:rPr>
                <w:color w:val="000000"/>
                <w:sz w:val="20"/>
                <w:lang w:val="lt-LT"/>
              </w:rPr>
              <w:t>187 500,00</w:t>
            </w:r>
          </w:p>
        </w:tc>
      </w:tr>
      <w:tr w:rsidR="00535D32" w:rsidRPr="009201B2" w14:paraId="381B6E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4D8B9"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B190F" w14:textId="77777777" w:rsidR="00A77B3E" w:rsidRPr="009201B2" w:rsidRDefault="00003C2A">
            <w:pPr>
              <w:spacing w:before="100"/>
              <w:rPr>
                <w:color w:val="000000"/>
                <w:sz w:val="20"/>
                <w:lang w:val="lt-LT"/>
              </w:rPr>
            </w:pPr>
            <w:r w:rsidRPr="009201B2">
              <w:rPr>
                <w:color w:val="000000"/>
                <w:sz w:val="20"/>
                <w:lang w:val="lt-LT"/>
              </w:rPr>
              <w:t>008.Įranga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D24D9" w14:textId="77777777" w:rsidR="00A77B3E" w:rsidRPr="009201B2" w:rsidRDefault="00003C2A">
            <w:pPr>
              <w:spacing w:before="100"/>
              <w:jc w:val="right"/>
              <w:rPr>
                <w:color w:val="000000"/>
                <w:sz w:val="20"/>
                <w:lang w:val="lt-LT"/>
              </w:rPr>
            </w:pPr>
            <w:r w:rsidRPr="009201B2">
              <w:rPr>
                <w:color w:val="000000"/>
                <w:sz w:val="20"/>
                <w:lang w:val="lt-LT"/>
              </w:rPr>
              <w:t>4 312 500,00</w:t>
            </w:r>
          </w:p>
        </w:tc>
      </w:tr>
      <w:tr w:rsidR="00535D32" w:rsidRPr="009201B2" w14:paraId="735539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868C1"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77980" w14:textId="77777777" w:rsidR="00A77B3E" w:rsidRPr="009201B2" w:rsidRDefault="00003C2A">
            <w:pPr>
              <w:spacing w:before="100"/>
              <w:rPr>
                <w:color w:val="000000"/>
                <w:sz w:val="20"/>
                <w:lang w:val="lt-LT"/>
              </w:rPr>
            </w:pPr>
            <w:r w:rsidRPr="009201B2">
              <w:rPr>
                <w:color w:val="000000"/>
                <w:sz w:val="20"/>
                <w:lang w:val="lt-LT"/>
              </w:rPr>
              <w:t>009.Transporto priemonė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CDE9E"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259FA4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41A03"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6B33E" w14:textId="77777777" w:rsidR="00A77B3E" w:rsidRPr="009201B2" w:rsidRDefault="00003C2A">
            <w:pPr>
              <w:spacing w:before="100"/>
              <w:rPr>
                <w:color w:val="000000"/>
                <w:sz w:val="20"/>
                <w:lang w:val="lt-LT"/>
              </w:rPr>
            </w:pPr>
            <w:r w:rsidRPr="009201B2">
              <w:rPr>
                <w:color w:val="000000"/>
                <w:sz w:val="20"/>
                <w:lang w:val="lt-LT"/>
              </w:rPr>
              <w:t>010.Pastatai ir įrenginiai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7164E"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3F80D5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2069D"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4B371" w14:textId="77777777" w:rsidR="00A77B3E" w:rsidRPr="009201B2" w:rsidRDefault="00003C2A">
            <w:pPr>
              <w:spacing w:before="100"/>
              <w:rPr>
                <w:color w:val="000000"/>
                <w:sz w:val="20"/>
                <w:lang w:val="lt-LT"/>
              </w:rPr>
            </w:pPr>
            <w:r w:rsidRPr="009201B2">
              <w:rPr>
                <w:color w:val="000000"/>
                <w:sz w:val="20"/>
                <w:lang w:val="lt-LT"/>
              </w:rPr>
              <w:t>011.Siuntimas arba kiti tolesni veiksmai, susiję su mokslinių tyrimų projektais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4BA02" w14:textId="77777777" w:rsidR="00A77B3E" w:rsidRPr="009201B2" w:rsidRDefault="00003C2A">
            <w:pPr>
              <w:spacing w:before="100"/>
              <w:jc w:val="right"/>
              <w:rPr>
                <w:color w:val="000000"/>
                <w:sz w:val="20"/>
                <w:lang w:val="lt-LT"/>
              </w:rPr>
            </w:pPr>
            <w:r w:rsidRPr="009201B2">
              <w:rPr>
                <w:color w:val="000000"/>
                <w:sz w:val="20"/>
                <w:lang w:val="lt-LT"/>
              </w:rPr>
              <w:t>0,00</w:t>
            </w:r>
          </w:p>
        </w:tc>
      </w:tr>
    </w:tbl>
    <w:p w14:paraId="4C8252F7" w14:textId="77777777" w:rsidR="00A77B3E" w:rsidRPr="009201B2" w:rsidRDefault="00A77B3E">
      <w:pPr>
        <w:spacing w:before="100"/>
        <w:rPr>
          <w:color w:val="000000"/>
          <w:sz w:val="20"/>
          <w:lang w:val="lt-LT"/>
        </w:rPr>
        <w:sectPr w:rsidR="00A77B3E" w:rsidRPr="009201B2">
          <w:pgSz w:w="16838" w:h="11906" w:orient="landscape"/>
          <w:pgMar w:top="720" w:right="720" w:bottom="864" w:left="936" w:header="288" w:footer="72" w:gutter="0"/>
          <w:cols w:space="720"/>
          <w:noEndnote/>
          <w:docGrid w:linePitch="360"/>
        </w:sectPr>
      </w:pPr>
    </w:p>
    <w:p w14:paraId="3EB5AF96"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9" w:name="_Toc256000066"/>
      <w:r w:rsidRPr="009201B2">
        <w:rPr>
          <w:rFonts w:ascii="Times New Roman" w:hAnsi="Times New Roman" w:cs="Times New Roman"/>
          <w:b w:val="0"/>
          <w:i w:val="0"/>
          <w:color w:val="000000"/>
          <w:sz w:val="24"/>
          <w:lang w:val="lt-LT"/>
        </w:rPr>
        <w:lastRenderedPageBreak/>
        <w:t>2.1. Konkretus tikslas: 2. Tarpvalstybinis bendradarbiavimas</w:t>
      </w:r>
      <w:bookmarkEnd w:id="9"/>
    </w:p>
    <w:p w14:paraId="5B1DEFDF" w14:textId="77777777" w:rsidR="00A77B3E" w:rsidRPr="009201B2" w:rsidRDefault="00A77B3E">
      <w:pPr>
        <w:spacing w:before="100"/>
        <w:rPr>
          <w:color w:val="000000"/>
          <w:sz w:val="0"/>
          <w:lang w:val="lt-LT"/>
        </w:rPr>
      </w:pPr>
    </w:p>
    <w:p w14:paraId="26882ACF"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10" w:name="_Toc256000067"/>
      <w:r w:rsidRPr="009201B2">
        <w:rPr>
          <w:rFonts w:ascii="Times New Roman" w:hAnsi="Times New Roman" w:cs="Times New Roman"/>
          <w:b w:val="0"/>
          <w:color w:val="000000"/>
          <w:sz w:val="24"/>
          <w:lang w:val="lt-LT"/>
        </w:rPr>
        <w:t>2.1.1. Konkretaus tikslo aprašymas</w:t>
      </w:r>
      <w:bookmarkEnd w:id="10"/>
    </w:p>
    <w:p w14:paraId="50DF1726"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9201B2" w14:paraId="23E2CD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7DF61" w14:textId="77777777" w:rsidR="00A77B3E" w:rsidRPr="009201B2" w:rsidRDefault="00A77B3E">
            <w:pPr>
              <w:spacing w:before="100"/>
              <w:rPr>
                <w:color w:val="000000"/>
                <w:sz w:val="0"/>
                <w:lang w:val="lt-LT"/>
              </w:rPr>
            </w:pPr>
          </w:p>
          <w:p w14:paraId="0C914629" w14:textId="0154AAA6" w:rsidR="00A77B3E" w:rsidRPr="009201B2" w:rsidRDefault="00003C2A">
            <w:pPr>
              <w:spacing w:before="100"/>
              <w:rPr>
                <w:color w:val="000000"/>
                <w:lang w:val="lt-LT"/>
              </w:rPr>
            </w:pPr>
            <w:r w:rsidRPr="009201B2">
              <w:rPr>
                <w:b/>
                <w:bCs/>
                <w:i/>
                <w:iCs/>
                <w:color w:val="000000"/>
                <w:lang w:val="lt-LT"/>
              </w:rPr>
              <w:t>Finan</w:t>
            </w:r>
            <w:r w:rsidR="00D567C3">
              <w:rPr>
                <w:b/>
                <w:bCs/>
                <w:i/>
                <w:iCs/>
                <w:color w:val="000000"/>
                <w:lang w:val="lt-LT"/>
              </w:rPr>
              <w:t>siniai prioritetai, kurios LT įgyvendins, kad pasiektų KT</w:t>
            </w:r>
            <w:r w:rsidR="00BE352F">
              <w:rPr>
                <w:b/>
                <w:bCs/>
                <w:i/>
                <w:iCs/>
                <w:color w:val="000000"/>
                <w:lang w:val="lt-LT"/>
              </w:rPr>
              <w:t>2</w:t>
            </w:r>
            <w:r w:rsidR="00D567C3">
              <w:rPr>
                <w:b/>
                <w:bCs/>
                <w:i/>
                <w:iCs/>
                <w:color w:val="000000"/>
                <w:lang w:val="lt-LT"/>
              </w:rPr>
              <w:t>:</w:t>
            </w:r>
          </w:p>
          <w:p w14:paraId="3C3D5608" w14:textId="6DB5D5CD" w:rsidR="00A77B3E" w:rsidRPr="009201B2" w:rsidRDefault="00D567C3" w:rsidP="004A5EA0">
            <w:pPr>
              <w:spacing w:before="100"/>
              <w:jc w:val="both"/>
              <w:rPr>
                <w:color w:val="000000"/>
                <w:lang w:val="lt-LT"/>
              </w:rPr>
            </w:pPr>
            <w:r w:rsidRPr="00D567C3">
              <w:rPr>
                <w:color w:val="000000"/>
                <w:lang w:val="lt-LT"/>
              </w:rPr>
              <w:t xml:space="preserve">Paskirstymas tarp tikslų geriausiai atitinka Lietuvos saugumo poreikius ir didžiausią ES pridėtinę vertę. </w:t>
            </w:r>
            <w:r>
              <w:rPr>
                <w:color w:val="000000"/>
                <w:lang w:val="lt-LT"/>
              </w:rPr>
              <w:t>Jei iškilus poreikiui, VSF lėšų nebus, KT</w:t>
            </w:r>
            <w:r w:rsidR="00BE352F">
              <w:rPr>
                <w:color w:val="000000"/>
                <w:lang w:val="lt-LT"/>
              </w:rPr>
              <w:t>2</w:t>
            </w:r>
            <w:r>
              <w:rPr>
                <w:color w:val="000000"/>
                <w:lang w:val="lt-LT"/>
              </w:rPr>
              <w:t xml:space="preserve"> siekiai</w:t>
            </w:r>
            <w:r w:rsidRPr="00D567C3">
              <w:rPr>
                <w:color w:val="000000"/>
                <w:lang w:val="lt-LT"/>
              </w:rPr>
              <w:t xml:space="preserve"> bus įgyvendinami nacionalinėmis lėšomis</w:t>
            </w:r>
            <w:r>
              <w:rPr>
                <w:color w:val="000000"/>
                <w:lang w:val="lt-LT"/>
              </w:rPr>
              <w:t xml:space="preserve"> </w:t>
            </w:r>
            <w:r w:rsidRPr="00D567C3">
              <w:rPr>
                <w:color w:val="000000"/>
                <w:lang w:val="lt-LT"/>
              </w:rPr>
              <w:t>(t. y. bendroms operacijoms, specializuotai įrangai įsigyti, specializuotam pritaikytam mokymui ir t. t</w:t>
            </w:r>
            <w:r w:rsidR="00003C2A" w:rsidRPr="009201B2">
              <w:rPr>
                <w:color w:val="000000"/>
                <w:lang w:val="lt-LT"/>
              </w:rPr>
              <w:t>.</w:t>
            </w:r>
            <w:r w:rsidR="006C5C94">
              <w:rPr>
                <w:color w:val="000000"/>
                <w:lang w:val="lt-LT"/>
              </w:rPr>
              <w:t>).</w:t>
            </w:r>
          </w:p>
          <w:p w14:paraId="181A4128" w14:textId="49003C68" w:rsidR="00A77B3E" w:rsidRPr="009201B2" w:rsidRDefault="00D567C3">
            <w:pPr>
              <w:spacing w:before="100"/>
              <w:rPr>
                <w:color w:val="000000"/>
                <w:lang w:val="lt-LT"/>
              </w:rPr>
            </w:pPr>
            <w:r w:rsidRPr="00D567C3">
              <w:rPr>
                <w:b/>
                <w:bCs/>
                <w:i/>
                <w:iCs/>
                <w:color w:val="000000"/>
                <w:lang w:val="lt-LT"/>
              </w:rPr>
              <w:t>Teisėsaugos institucijų bendradarbiavimas</w:t>
            </w:r>
            <w:r w:rsidR="00003C2A" w:rsidRPr="009201B2">
              <w:rPr>
                <w:b/>
                <w:bCs/>
                <w:i/>
                <w:iCs/>
                <w:color w:val="000000"/>
                <w:lang w:val="lt-LT"/>
              </w:rPr>
              <w:t xml:space="preserve">aw  </w:t>
            </w:r>
          </w:p>
          <w:p w14:paraId="4242639D" w14:textId="7C00326D" w:rsidR="00A77B3E" w:rsidRPr="009201B2" w:rsidRDefault="00D567C3" w:rsidP="004A5EA0">
            <w:pPr>
              <w:spacing w:before="100"/>
              <w:jc w:val="both"/>
              <w:rPr>
                <w:color w:val="000000"/>
                <w:lang w:val="lt-LT"/>
              </w:rPr>
            </w:pPr>
            <w:r w:rsidRPr="00D567C3">
              <w:rPr>
                <w:color w:val="000000"/>
                <w:lang w:val="lt-LT"/>
              </w:rPr>
              <w:t>Šiuo metu Policijos departamentas (PD) susiduria su nepakankamu specialiosios paskirties (mobiliųjų) policijos padalinių pasirengimu tinkamai reaguoti į viešojo saugumo iššūkius (ekstremalias situacijas, krizių padarinius). Turima kovos su riaušėmis įranga (kuri yra neatsiejama taktikos dalis), taikomi policijos taktikos standartai nevisiškai atitinka geriausią ES praktiką, trūksta žinių ir įrangos, kuri leistų sėkmingai bendradarbiauti su kitomis valstybėmis narėmis, veiksmingiau spręsti bendrus saugumo iššūkius ir kelti ES policijos veiklos standartus. Būtina stiprinti šiuos policijos padalinius ir jų pasirengimą dalyvauti bendrose operacijose su kitomis valstybėmis narėmis teikiant pagalbą masinių renginių ir ekstremalių situacijų metu</w:t>
            </w:r>
            <w:r>
              <w:rPr>
                <w:color w:val="000000"/>
                <w:lang w:val="lt-LT"/>
              </w:rPr>
              <w:t xml:space="preserve">. </w:t>
            </w:r>
            <w:r w:rsidR="00003C2A" w:rsidRPr="009201B2">
              <w:rPr>
                <w:color w:val="000000"/>
                <w:lang w:val="lt-LT"/>
              </w:rPr>
              <w:t xml:space="preserve"> </w:t>
            </w:r>
          </w:p>
          <w:p w14:paraId="07F44DD6" w14:textId="77777777" w:rsidR="00A77B3E" w:rsidRPr="009201B2" w:rsidRDefault="00A77B3E">
            <w:pPr>
              <w:spacing w:before="100"/>
              <w:rPr>
                <w:color w:val="000000"/>
                <w:lang w:val="lt-LT"/>
              </w:rPr>
            </w:pPr>
          </w:p>
          <w:p w14:paraId="425ACF60" w14:textId="33D19560" w:rsidR="00A77B3E" w:rsidRPr="009201B2" w:rsidRDefault="00D567C3">
            <w:pPr>
              <w:spacing w:before="100"/>
              <w:rPr>
                <w:color w:val="000000"/>
                <w:lang w:val="lt-LT"/>
              </w:rPr>
            </w:pPr>
            <w:r>
              <w:rPr>
                <w:b/>
                <w:bCs/>
                <w:i/>
                <w:iCs/>
                <w:color w:val="000000"/>
                <w:lang w:val="lt-LT"/>
              </w:rPr>
              <w:t>Narkotikai</w:t>
            </w:r>
          </w:p>
          <w:p w14:paraId="30D27E67" w14:textId="444E0445" w:rsidR="00A77B3E" w:rsidRPr="009201B2" w:rsidRDefault="00D567C3" w:rsidP="004A5EA0">
            <w:pPr>
              <w:spacing w:before="100"/>
              <w:jc w:val="both"/>
              <w:rPr>
                <w:color w:val="000000"/>
                <w:lang w:val="lt-LT"/>
              </w:rPr>
            </w:pPr>
            <w:r w:rsidRPr="00D567C3">
              <w:rPr>
                <w:color w:val="000000"/>
                <w:lang w:val="lt-LT"/>
              </w:rPr>
              <w:t xml:space="preserve">Narkotikų kontrabanda ir platinimas tebėra viena iš dominuojančių organizuoto nusikalstamumo sričių, kurios kontrolė ir mažinimas turėtų būti prioritetas tarpvalstybiniu mastu. Siekiant gauti didesnių nusikalstamų pajamų, kartu su neteisėta prekyba narkotikais vykdomos ir kitos nusikalstamos veikos. Kadangi nusikaltėliai greitai prisitaiko prie kintančios aplinkos, keisdami taktiką, naudodami naujas ryšio priemones sąmokslui palaikyti ir t. t., teisėsaugos institucijoms būtina atitinkamai stiprinti savo pajėgumus ir galimybes. Ypač svarbu turėti ir naudoti naujausias pažangias technines priemones. Kova su nusikalstamumu, susijusiu su narkotikais, yra tarpusavyje susijusi su veiksmais, nurodytais </w:t>
            </w:r>
            <w:r w:rsidR="003362EB">
              <w:rPr>
                <w:color w:val="000000"/>
                <w:lang w:val="lt-LT"/>
              </w:rPr>
              <w:t>KT</w:t>
            </w:r>
            <w:r w:rsidR="00BE352F">
              <w:rPr>
                <w:color w:val="000000"/>
                <w:lang w:val="lt-LT"/>
              </w:rPr>
              <w:t>1</w:t>
            </w:r>
            <w:r w:rsidR="003362EB">
              <w:rPr>
                <w:color w:val="000000"/>
                <w:lang w:val="lt-LT"/>
              </w:rPr>
              <w:t xml:space="preserve"> ir KT</w:t>
            </w:r>
            <w:r w:rsidR="00BE352F">
              <w:rPr>
                <w:color w:val="000000"/>
                <w:lang w:val="lt-LT"/>
              </w:rPr>
              <w:t>2</w:t>
            </w:r>
            <w:r w:rsidR="003362EB">
              <w:rPr>
                <w:color w:val="000000"/>
                <w:lang w:val="lt-LT"/>
              </w:rPr>
              <w:t xml:space="preserve"> </w:t>
            </w:r>
            <w:r w:rsidR="006C5C94">
              <w:rPr>
                <w:color w:val="000000"/>
                <w:lang w:val="lt-LT"/>
              </w:rPr>
              <w:t>dalyse</w:t>
            </w:r>
            <w:r w:rsidR="00003C2A" w:rsidRPr="009201B2">
              <w:rPr>
                <w:color w:val="000000"/>
                <w:lang w:val="lt-LT"/>
              </w:rPr>
              <w:t>.  </w:t>
            </w:r>
          </w:p>
          <w:p w14:paraId="1647F7CF" w14:textId="77777777" w:rsidR="00A77B3E" w:rsidRPr="009201B2" w:rsidRDefault="00A77B3E" w:rsidP="004A5EA0">
            <w:pPr>
              <w:spacing w:before="100"/>
              <w:jc w:val="both"/>
              <w:rPr>
                <w:color w:val="000000"/>
                <w:lang w:val="lt-LT"/>
              </w:rPr>
            </w:pPr>
          </w:p>
          <w:p w14:paraId="400AF79B" w14:textId="351E58C2" w:rsidR="003362EB" w:rsidRPr="003362EB" w:rsidRDefault="003362EB" w:rsidP="004A5EA0">
            <w:pPr>
              <w:spacing w:before="100"/>
              <w:jc w:val="both"/>
              <w:rPr>
                <w:color w:val="000000"/>
                <w:lang w:val="lt-LT"/>
              </w:rPr>
            </w:pPr>
            <w:r w:rsidRPr="003362EB">
              <w:rPr>
                <w:color w:val="000000"/>
                <w:lang w:val="lt-LT"/>
              </w:rPr>
              <w:t xml:space="preserve">Nuo tada, kai Muitinės kriminalinė tarnyba (MKT) pradėjo vadovauti EMPACT prioriteto </w:t>
            </w:r>
            <w:r>
              <w:rPr>
                <w:color w:val="000000"/>
                <w:lang w:val="lt-LT"/>
              </w:rPr>
              <w:t>„</w:t>
            </w:r>
            <w:r w:rsidRPr="003362EB">
              <w:rPr>
                <w:color w:val="000000"/>
                <w:lang w:val="lt-LT"/>
              </w:rPr>
              <w:t>Sukčiavimas akcizų srityje</w:t>
            </w:r>
            <w:r>
              <w:rPr>
                <w:color w:val="000000"/>
                <w:lang w:val="lt-LT"/>
              </w:rPr>
              <w:t>“</w:t>
            </w:r>
            <w:r w:rsidRPr="003362EB">
              <w:rPr>
                <w:color w:val="000000"/>
                <w:lang w:val="lt-LT"/>
              </w:rPr>
              <w:t xml:space="preserve"> įgyvendinimui, MKT vis dažniau dalyvauja bendrose tarptautinėse operacijose ir tyrimuose kovojant su sukčiavimu akcizų srityje. Todėl didėja poreikis užtikrinti tinkamą </w:t>
            </w:r>
            <w:r>
              <w:rPr>
                <w:color w:val="000000"/>
                <w:lang w:val="lt-LT"/>
              </w:rPr>
              <w:t>MKT</w:t>
            </w:r>
            <w:r w:rsidRPr="003362EB">
              <w:rPr>
                <w:color w:val="000000"/>
                <w:lang w:val="lt-LT"/>
              </w:rPr>
              <w:t xml:space="preserve"> aprūpinimą pažangiausia technine įranga ir atnaujinti turimą techninę įrangą. </w:t>
            </w:r>
          </w:p>
          <w:p w14:paraId="5FD2C9EA" w14:textId="00069852" w:rsidR="00A77B3E" w:rsidRPr="009201B2" w:rsidRDefault="003362EB" w:rsidP="004A5EA0">
            <w:pPr>
              <w:spacing w:before="100"/>
              <w:jc w:val="both"/>
              <w:rPr>
                <w:color w:val="000000"/>
                <w:lang w:val="lt-LT"/>
              </w:rPr>
            </w:pPr>
            <w:r w:rsidRPr="003362EB">
              <w:rPr>
                <w:color w:val="000000"/>
                <w:lang w:val="lt-LT"/>
              </w:rPr>
              <w:t>Bendrų operacijų skaičiaus 2021</w:t>
            </w:r>
            <w:r w:rsidR="0046189C">
              <w:rPr>
                <w:color w:val="000000"/>
                <w:lang w:val="lt-LT"/>
              </w:rPr>
              <w:t>–</w:t>
            </w:r>
            <w:r w:rsidRPr="003362EB">
              <w:rPr>
                <w:color w:val="000000"/>
                <w:lang w:val="lt-LT"/>
              </w:rPr>
              <w:t>2027 m. laikotarpiu iš anksto numatyti neįmanoma. Pagrindinis asignavimas skirtas ribotam skaičiui specializuotų transporto priemonių, skirtų bendroms operacijoms, įsigyti. Šios transporto priemonės taip pat bus pritaikytos šių specializuotų padalinių ir bendrų operacijų poreikiams.</w:t>
            </w:r>
            <w:r w:rsidR="00003C2A" w:rsidRPr="009201B2">
              <w:rPr>
                <w:color w:val="000000"/>
                <w:lang w:val="lt-LT"/>
              </w:rPr>
              <w:t xml:space="preserve"> </w:t>
            </w:r>
          </w:p>
          <w:p w14:paraId="3499086D" w14:textId="75ADD166" w:rsidR="00A77B3E" w:rsidRPr="009201B2" w:rsidRDefault="00003C2A" w:rsidP="004A5EA0">
            <w:pPr>
              <w:spacing w:before="100"/>
              <w:jc w:val="both"/>
              <w:rPr>
                <w:color w:val="000000"/>
                <w:lang w:val="lt-LT"/>
              </w:rPr>
            </w:pPr>
            <w:r w:rsidRPr="009201B2">
              <w:rPr>
                <w:color w:val="000000"/>
                <w:lang w:val="lt-LT"/>
              </w:rPr>
              <w:t>Li</w:t>
            </w:r>
            <w:r w:rsidR="003362EB">
              <w:rPr>
                <w:color w:val="000000"/>
                <w:lang w:val="lt-LT"/>
              </w:rPr>
              <w:t xml:space="preserve">etuva dalyvauja dviejuose </w:t>
            </w:r>
            <w:r w:rsidR="0046189C">
              <w:rPr>
                <w:color w:val="000000"/>
                <w:lang w:val="lt-LT"/>
              </w:rPr>
              <w:t xml:space="preserve">konkretaus </w:t>
            </w:r>
            <w:r w:rsidR="003362EB">
              <w:rPr>
                <w:color w:val="000000"/>
                <w:lang w:val="lt-LT"/>
              </w:rPr>
              <w:t xml:space="preserve">veiksmo </w:t>
            </w:r>
            <w:r w:rsidR="003362EB" w:rsidRPr="003362EB">
              <w:rPr>
                <w:color w:val="000000"/>
                <w:lang w:val="lt-LT"/>
              </w:rPr>
              <w:t>ISF/2022/SA/2.2.1 projektuose</w:t>
            </w:r>
            <w:r w:rsidR="003362EB">
              <w:rPr>
                <w:color w:val="000000"/>
                <w:lang w:val="lt-LT"/>
              </w:rPr>
              <w:t xml:space="preserve">: projekte </w:t>
            </w:r>
            <w:r w:rsidR="003362EB" w:rsidRPr="003362EB">
              <w:rPr>
                <w:color w:val="000000"/>
                <w:lang w:val="lt-LT"/>
              </w:rPr>
              <w:t xml:space="preserve"> 001 (vadovauja Estija) ir </w:t>
            </w:r>
            <w:r w:rsidR="003362EB">
              <w:rPr>
                <w:color w:val="000000"/>
                <w:lang w:val="lt-LT"/>
              </w:rPr>
              <w:t xml:space="preserve">projekte </w:t>
            </w:r>
            <w:r w:rsidR="003362EB" w:rsidRPr="003362EB">
              <w:rPr>
                <w:color w:val="000000"/>
                <w:lang w:val="lt-LT"/>
              </w:rPr>
              <w:t>012 (vadovauja Ispanija).</w:t>
            </w:r>
            <w:r w:rsidRPr="009201B2">
              <w:rPr>
                <w:color w:val="000000"/>
                <w:lang w:val="lt-LT"/>
              </w:rPr>
              <w:t xml:space="preserve"> </w:t>
            </w:r>
          </w:p>
          <w:p w14:paraId="6DE4FF15" w14:textId="2888ECE1" w:rsidR="00A77B3E" w:rsidRPr="009201B2" w:rsidRDefault="003362EB">
            <w:pPr>
              <w:spacing w:before="100"/>
              <w:rPr>
                <w:color w:val="000000"/>
                <w:lang w:val="lt-LT"/>
              </w:rPr>
            </w:pPr>
            <w:r>
              <w:rPr>
                <w:b/>
                <w:bCs/>
                <w:color w:val="000000"/>
                <w:lang w:val="lt-LT"/>
              </w:rPr>
              <w:t xml:space="preserve">Siūlomi </w:t>
            </w:r>
            <w:r w:rsidRPr="003362EB">
              <w:rPr>
                <w:b/>
                <w:bCs/>
                <w:color w:val="000000"/>
                <w:lang w:val="lt-LT"/>
              </w:rPr>
              <w:t xml:space="preserve">minėtų problemų sprendimai, kurie turi būti </w:t>
            </w:r>
            <w:r w:rsidR="006C5C94">
              <w:rPr>
                <w:b/>
                <w:bCs/>
                <w:color w:val="000000"/>
                <w:lang w:val="lt-LT"/>
              </w:rPr>
              <w:t>įgyvendinam</w:t>
            </w:r>
            <w:r w:rsidRPr="003362EB">
              <w:rPr>
                <w:b/>
                <w:bCs/>
                <w:color w:val="000000"/>
                <w:lang w:val="lt-LT"/>
              </w:rPr>
              <w:t xml:space="preserve">i </w:t>
            </w:r>
            <w:r>
              <w:rPr>
                <w:b/>
                <w:bCs/>
                <w:color w:val="000000"/>
                <w:lang w:val="lt-LT"/>
              </w:rPr>
              <w:t>V</w:t>
            </w:r>
            <w:r w:rsidRPr="003362EB">
              <w:rPr>
                <w:b/>
                <w:bCs/>
                <w:color w:val="000000"/>
                <w:lang w:val="lt-LT"/>
              </w:rPr>
              <w:t>SF lėšomis</w:t>
            </w:r>
            <w:r w:rsidR="00003C2A" w:rsidRPr="009201B2">
              <w:rPr>
                <w:b/>
                <w:bCs/>
                <w:color w:val="000000"/>
                <w:lang w:val="lt-LT"/>
              </w:rPr>
              <w:t>:</w:t>
            </w:r>
          </w:p>
          <w:p w14:paraId="051ABF65" w14:textId="7901F55D" w:rsidR="00A77B3E" w:rsidRPr="009201B2" w:rsidRDefault="00003C2A" w:rsidP="004A5EA0">
            <w:pPr>
              <w:spacing w:before="100"/>
              <w:jc w:val="both"/>
              <w:rPr>
                <w:color w:val="000000"/>
                <w:lang w:val="lt-LT"/>
              </w:rPr>
            </w:pPr>
            <w:r w:rsidRPr="009201B2">
              <w:rPr>
                <w:color w:val="000000"/>
                <w:lang w:val="lt-LT"/>
              </w:rPr>
              <w:t xml:space="preserve">- </w:t>
            </w:r>
            <w:r w:rsidR="003362EB">
              <w:rPr>
                <w:color w:val="000000"/>
                <w:lang w:val="lt-LT"/>
              </w:rPr>
              <w:t xml:space="preserve">stiprinti </w:t>
            </w:r>
            <w:r w:rsidR="003362EB" w:rsidRPr="003362EB">
              <w:rPr>
                <w:color w:val="000000"/>
                <w:lang w:val="lt-LT"/>
              </w:rPr>
              <w:t>tarpvalstybinį bendradarbiavimą ir policijos bendr</w:t>
            </w:r>
            <w:r w:rsidR="003362EB">
              <w:rPr>
                <w:color w:val="000000"/>
                <w:lang w:val="lt-LT"/>
              </w:rPr>
              <w:t>ų</w:t>
            </w:r>
            <w:r w:rsidR="003362EB" w:rsidRPr="003362EB">
              <w:rPr>
                <w:color w:val="000000"/>
                <w:lang w:val="lt-LT"/>
              </w:rPr>
              <w:t xml:space="preserve"> ES operacij</w:t>
            </w:r>
            <w:r w:rsidR="003362EB">
              <w:rPr>
                <w:color w:val="000000"/>
                <w:lang w:val="lt-LT"/>
              </w:rPr>
              <w:t>ų įgyvendinimo gebėjimus</w:t>
            </w:r>
            <w:r w:rsidRPr="009201B2">
              <w:rPr>
                <w:color w:val="000000"/>
                <w:lang w:val="lt-LT"/>
              </w:rPr>
              <w:t>;</w:t>
            </w:r>
          </w:p>
          <w:p w14:paraId="6E2D356B" w14:textId="0B926007" w:rsidR="00A77B3E" w:rsidRPr="009201B2" w:rsidRDefault="00003C2A" w:rsidP="004A5EA0">
            <w:pPr>
              <w:spacing w:before="100"/>
              <w:jc w:val="both"/>
              <w:rPr>
                <w:color w:val="000000"/>
                <w:lang w:val="lt-LT"/>
              </w:rPr>
            </w:pPr>
            <w:r w:rsidRPr="009201B2">
              <w:rPr>
                <w:color w:val="000000"/>
                <w:lang w:val="lt-LT"/>
              </w:rPr>
              <w:t xml:space="preserve">- </w:t>
            </w:r>
            <w:r w:rsidR="003362EB" w:rsidRPr="003362EB">
              <w:rPr>
                <w:color w:val="000000"/>
                <w:lang w:val="lt-LT"/>
              </w:rPr>
              <w:t>stiprinti policijos gebėjimus kontroliuoti tarptautinę prekybą narkotikais ir kovoti su sunkiu ir organizuotu tarpvalstybiniu nusikalstamumu</w:t>
            </w:r>
            <w:r w:rsidRPr="009201B2">
              <w:rPr>
                <w:color w:val="000000"/>
                <w:lang w:val="lt-LT"/>
              </w:rPr>
              <w:t>;</w:t>
            </w:r>
          </w:p>
          <w:p w14:paraId="2EDF801B" w14:textId="27F444D0" w:rsidR="00A77B3E" w:rsidRPr="009201B2" w:rsidRDefault="00003C2A" w:rsidP="004A5EA0">
            <w:pPr>
              <w:spacing w:before="100"/>
              <w:jc w:val="both"/>
              <w:rPr>
                <w:color w:val="000000"/>
                <w:lang w:val="lt-LT"/>
              </w:rPr>
            </w:pPr>
            <w:r w:rsidRPr="009201B2">
              <w:rPr>
                <w:color w:val="000000"/>
                <w:lang w:val="lt-LT"/>
              </w:rPr>
              <w:t xml:space="preserve">- </w:t>
            </w:r>
            <w:r w:rsidR="003362EB" w:rsidRPr="003362EB">
              <w:rPr>
                <w:color w:val="000000"/>
                <w:lang w:val="lt-LT"/>
              </w:rPr>
              <w:t>stiprinti policijos gebėjimus dalyvauti bendrose ES operacijose ir tyrimuose atnaujinant turimą techninę įrangą, aprūpinant ją pažangiausia technine įranga ir mokant pareigūnus</w:t>
            </w:r>
            <w:r w:rsidRPr="009201B2">
              <w:rPr>
                <w:color w:val="000000"/>
                <w:lang w:val="lt-LT"/>
              </w:rPr>
              <w:t>;</w:t>
            </w:r>
          </w:p>
          <w:p w14:paraId="4F42474D" w14:textId="2CAAA793" w:rsidR="00A77B3E" w:rsidRPr="009201B2" w:rsidRDefault="00003C2A" w:rsidP="004A5EA0">
            <w:pPr>
              <w:spacing w:before="100"/>
              <w:jc w:val="both"/>
              <w:rPr>
                <w:color w:val="000000"/>
                <w:lang w:val="lt-LT"/>
              </w:rPr>
            </w:pPr>
            <w:r w:rsidRPr="009201B2">
              <w:rPr>
                <w:color w:val="000000"/>
                <w:lang w:val="lt-LT"/>
              </w:rPr>
              <w:t xml:space="preserve">- </w:t>
            </w:r>
            <w:r w:rsidR="003362EB">
              <w:rPr>
                <w:color w:val="000000"/>
                <w:lang w:val="lt-LT"/>
              </w:rPr>
              <w:t>stiprinti MKT gebėjimus dalyvauti bendrose ES operacijose ir tyrimuose, modernizuojant turimą techninę įrangą, aprūpinant pažangiausia technine įranga ir apmokant pareigūnus.</w:t>
            </w:r>
            <w:r w:rsidRPr="009201B2">
              <w:rPr>
                <w:color w:val="000000"/>
                <w:lang w:val="lt-LT"/>
              </w:rPr>
              <w:t> </w:t>
            </w:r>
          </w:p>
          <w:p w14:paraId="3CB6375B" w14:textId="77777777" w:rsidR="00A77B3E" w:rsidRPr="009201B2" w:rsidRDefault="00A77B3E" w:rsidP="004A5EA0">
            <w:pPr>
              <w:spacing w:before="100"/>
              <w:jc w:val="both"/>
              <w:rPr>
                <w:color w:val="000000"/>
                <w:lang w:val="lt-LT"/>
              </w:rPr>
            </w:pPr>
          </w:p>
          <w:p w14:paraId="3576647E" w14:textId="28471FB9" w:rsidR="00A77B3E" w:rsidRPr="009201B2" w:rsidRDefault="006C5C94">
            <w:pPr>
              <w:spacing w:before="100"/>
              <w:rPr>
                <w:color w:val="000000"/>
                <w:lang w:val="lt-LT"/>
              </w:rPr>
            </w:pPr>
            <w:r w:rsidRPr="00E0420B">
              <w:rPr>
                <w:b/>
                <w:bCs/>
                <w:color w:val="000000"/>
                <w:lang w:val="lt-LT"/>
              </w:rPr>
              <w:lastRenderedPageBreak/>
              <w:t xml:space="preserve">Kad būtų pasiekti </w:t>
            </w:r>
            <w:r>
              <w:rPr>
                <w:b/>
                <w:bCs/>
                <w:color w:val="000000"/>
                <w:lang w:val="lt-LT"/>
              </w:rPr>
              <w:t>KT</w:t>
            </w:r>
            <w:r w:rsidR="00BE352F">
              <w:rPr>
                <w:b/>
                <w:bCs/>
                <w:color w:val="000000"/>
                <w:lang w:val="lt-LT"/>
              </w:rPr>
              <w:t>2</w:t>
            </w:r>
            <w:r w:rsidRPr="00E0420B">
              <w:rPr>
                <w:b/>
                <w:bCs/>
                <w:color w:val="000000"/>
                <w:lang w:val="lt-LT"/>
              </w:rPr>
              <w:t xml:space="preserve"> </w:t>
            </w:r>
            <w:r>
              <w:rPr>
                <w:b/>
                <w:bCs/>
                <w:color w:val="000000"/>
                <w:lang w:val="lt-LT"/>
              </w:rPr>
              <w:t>siekiai</w:t>
            </w:r>
            <w:r w:rsidRPr="00E0420B">
              <w:rPr>
                <w:b/>
                <w:bCs/>
                <w:color w:val="000000"/>
                <w:lang w:val="lt-LT"/>
              </w:rPr>
              <w:t xml:space="preserve"> ir II priedo įgyvendinimo priemonės, bus remiami šie orientaciniai veiksmai (III priedas</w:t>
            </w:r>
            <w:r w:rsidR="002B607F" w:rsidRPr="002B607F">
              <w:rPr>
                <w:b/>
                <w:bCs/>
                <w:color w:val="000000"/>
                <w:lang w:val="lt-LT"/>
              </w:rPr>
              <w:t>)</w:t>
            </w:r>
            <w:r w:rsidR="00003C2A" w:rsidRPr="009201B2">
              <w:rPr>
                <w:b/>
                <w:bCs/>
                <w:color w:val="000000"/>
                <w:lang w:val="lt-LT"/>
              </w:rPr>
              <w:t xml:space="preserve">: </w:t>
            </w:r>
          </w:p>
          <w:p w14:paraId="19FA05B9" w14:textId="61F92476" w:rsidR="00A77B3E" w:rsidRPr="009201B2" w:rsidRDefault="00003C2A" w:rsidP="004A5EA0">
            <w:pPr>
              <w:spacing w:before="100"/>
              <w:jc w:val="both"/>
              <w:rPr>
                <w:color w:val="000000"/>
                <w:lang w:val="lt-LT"/>
              </w:rPr>
            </w:pPr>
            <w:r w:rsidRPr="009201B2">
              <w:rPr>
                <w:color w:val="000000"/>
                <w:lang w:val="lt-LT"/>
              </w:rPr>
              <w:t xml:space="preserve">- </w:t>
            </w:r>
            <w:r w:rsidR="00EB31E3" w:rsidRPr="00EB31E3">
              <w:rPr>
                <w:color w:val="000000"/>
                <w:lang w:val="lt-LT"/>
              </w:rPr>
              <w:t>ES politikos cikl</w:t>
            </w:r>
            <w:r w:rsidR="006C5C94">
              <w:rPr>
                <w:color w:val="000000"/>
                <w:lang w:val="lt-LT"/>
              </w:rPr>
              <w:t>o</w:t>
            </w:r>
            <w:r w:rsidR="00EB31E3" w:rsidRPr="00EB31E3">
              <w:rPr>
                <w:color w:val="000000"/>
                <w:lang w:val="lt-LT"/>
              </w:rPr>
              <w:t>/</w:t>
            </w:r>
            <w:r w:rsidR="00EB31E3">
              <w:t xml:space="preserve"> Europos kovos su nusikalstamumo grėsmėmis daugiadalyk</w:t>
            </w:r>
            <w:r w:rsidR="006C5C94">
              <w:t>ės</w:t>
            </w:r>
            <w:r w:rsidR="00EB31E3">
              <w:t xml:space="preserve"> platformos (</w:t>
            </w:r>
            <w:r w:rsidR="00EB31E3" w:rsidRPr="00EB31E3">
              <w:rPr>
                <w:color w:val="000000"/>
                <w:lang w:val="lt-LT"/>
              </w:rPr>
              <w:t>EMPACT</w:t>
            </w:r>
            <w:r w:rsidR="00EB31E3">
              <w:rPr>
                <w:color w:val="000000"/>
                <w:lang w:val="lt-LT"/>
              </w:rPr>
              <w:t>)</w:t>
            </w:r>
            <w:r w:rsidR="00EB31E3" w:rsidRPr="00EB31E3">
              <w:rPr>
                <w:color w:val="000000"/>
                <w:lang w:val="lt-LT"/>
              </w:rPr>
              <w:t xml:space="preserve"> operatyviniai veiksmai (II priedo 2 dalies a, b punktai)</w:t>
            </w:r>
            <w:r w:rsidRPr="009201B2">
              <w:rPr>
                <w:color w:val="000000"/>
                <w:lang w:val="lt-LT"/>
              </w:rPr>
              <w:t>;</w:t>
            </w:r>
          </w:p>
          <w:p w14:paraId="27BA5CC8" w14:textId="4ECD04D8" w:rsidR="00A77B3E" w:rsidRPr="009201B2" w:rsidRDefault="00003C2A" w:rsidP="004A5EA0">
            <w:pPr>
              <w:spacing w:before="100"/>
              <w:jc w:val="both"/>
              <w:rPr>
                <w:color w:val="000000"/>
                <w:lang w:val="lt-LT"/>
              </w:rPr>
            </w:pPr>
            <w:r w:rsidRPr="009201B2">
              <w:rPr>
                <w:color w:val="000000"/>
                <w:lang w:val="lt-LT"/>
              </w:rPr>
              <w:t xml:space="preserve">- </w:t>
            </w:r>
            <w:r w:rsidR="00EB31E3" w:rsidRPr="00EB31E3">
              <w:rPr>
                <w:color w:val="000000"/>
                <w:lang w:val="lt-LT"/>
              </w:rPr>
              <w:t>veiksmai, kuriais remiamas veiksmingas ir koordinuotas reagavimas į krizes ir susiejami esami konkrečių sektorių pajėgumai, kompetencijos centrai ir informuotumo apie padėtį centrai, įskaitant sveikatos, civilinės saugos, terorizmo ir kibernetinių nusikaltimų centrus (II priedo 2 dalies a, b punktai)</w:t>
            </w:r>
            <w:r w:rsidRPr="009201B2">
              <w:rPr>
                <w:color w:val="000000"/>
                <w:lang w:val="lt-LT"/>
              </w:rPr>
              <w:t>;</w:t>
            </w:r>
          </w:p>
          <w:p w14:paraId="33861E94" w14:textId="4B98D299" w:rsidR="00A77B3E" w:rsidRPr="009201B2" w:rsidRDefault="00003C2A" w:rsidP="004A5EA0">
            <w:pPr>
              <w:spacing w:before="100"/>
              <w:jc w:val="both"/>
              <w:rPr>
                <w:color w:val="000000"/>
                <w:lang w:val="lt-LT"/>
              </w:rPr>
            </w:pPr>
            <w:r w:rsidRPr="009201B2">
              <w:rPr>
                <w:color w:val="000000"/>
                <w:lang w:val="lt-LT"/>
              </w:rPr>
              <w:t xml:space="preserve">- </w:t>
            </w:r>
            <w:r w:rsidR="00EB31E3" w:rsidRPr="00EB31E3">
              <w:rPr>
                <w:color w:val="000000"/>
                <w:lang w:val="lt-LT"/>
              </w:rPr>
              <w:t>teikiant paramą teminiams arba tarpteminiams specializuotų nacionalinių padalinių ir nacionalinių kontaktinių centrų tinklams, kad būtų didinamas tarpusavio pasitikėjimas, keičiamasi praktinėmis žiniomis, informacija, patirtimi ir geriausios praktikos pavyzdžiais</w:t>
            </w:r>
            <w:r w:rsidR="006C5C94">
              <w:rPr>
                <w:color w:val="000000"/>
                <w:lang w:val="lt-LT"/>
              </w:rPr>
              <w:t xml:space="preserve"> užtikrinama jų sklaida</w:t>
            </w:r>
            <w:r w:rsidR="00EB31E3" w:rsidRPr="00EB31E3">
              <w:rPr>
                <w:color w:val="000000"/>
                <w:lang w:val="lt-LT"/>
              </w:rPr>
              <w:t xml:space="preserve">, telkiami ištekliai ir kompetencija bendruose kompetencijos centruose (II  priedo </w:t>
            </w:r>
            <w:r w:rsidR="006C5C94" w:rsidRPr="00EB31E3">
              <w:rPr>
                <w:color w:val="000000"/>
                <w:lang w:val="lt-LT"/>
              </w:rPr>
              <w:t>2</w:t>
            </w:r>
            <w:r w:rsidR="006C5C94">
              <w:rPr>
                <w:color w:val="000000"/>
                <w:lang w:val="lt-LT"/>
              </w:rPr>
              <w:t xml:space="preserve"> dalies </w:t>
            </w:r>
            <w:r w:rsidR="00EB31E3" w:rsidRPr="00EB31E3">
              <w:rPr>
                <w:color w:val="000000"/>
                <w:lang w:val="lt-LT"/>
              </w:rPr>
              <w:t>a, b punktai)</w:t>
            </w:r>
            <w:r w:rsidRPr="009201B2">
              <w:rPr>
                <w:color w:val="000000"/>
                <w:lang w:val="lt-LT"/>
              </w:rPr>
              <w:t>;</w:t>
            </w:r>
          </w:p>
          <w:p w14:paraId="3B4FD6E7" w14:textId="5654FBC1" w:rsidR="00A77B3E" w:rsidRPr="009201B2" w:rsidRDefault="00003C2A" w:rsidP="004A5EA0">
            <w:pPr>
              <w:spacing w:before="100"/>
              <w:jc w:val="both"/>
              <w:rPr>
                <w:color w:val="000000"/>
                <w:lang w:val="lt-LT"/>
              </w:rPr>
            </w:pPr>
            <w:r w:rsidRPr="009201B2">
              <w:rPr>
                <w:color w:val="000000"/>
                <w:lang w:val="lt-LT"/>
              </w:rPr>
              <w:t xml:space="preserve">- </w:t>
            </w:r>
            <w:r w:rsidR="00EB31E3" w:rsidRPr="00EB31E3">
              <w:rPr>
                <w:color w:val="000000"/>
                <w:lang w:val="lt-LT"/>
              </w:rPr>
              <w:t xml:space="preserve">atitinkamų teisėsaugos ir teisminių institucijų bei administracinių agentūrų darbuotojų ir ekspertų švietimas ir mokymas, atsižvelgiant į operatyvinius poreikius ir rizikos analizę, bendradarbiaujant su </w:t>
            </w:r>
            <w:r w:rsidR="008F0E72" w:rsidRPr="00EB31E3">
              <w:rPr>
                <w:rFonts w:asciiTheme="majorBidi" w:hAnsiTheme="majorBidi" w:cstheme="majorBidi"/>
                <w:shd w:val="clear" w:color="auto" w:fill="FFFFFF"/>
                <w:lang w:val="lt-LT"/>
              </w:rPr>
              <w:t>Europos Sąjungos teisėsaugos mokymo agentūra</w:t>
            </w:r>
            <w:r w:rsidR="008F0E72">
              <w:rPr>
                <w:rFonts w:asciiTheme="majorBidi" w:hAnsiTheme="majorBidi" w:cstheme="majorBidi"/>
                <w:shd w:val="clear" w:color="auto" w:fill="FFFFFF"/>
                <w:lang w:val="lt-LT"/>
              </w:rPr>
              <w:t xml:space="preserve"> (</w:t>
            </w:r>
            <w:r w:rsidR="00EB31E3" w:rsidRPr="00EB31E3">
              <w:rPr>
                <w:color w:val="000000"/>
                <w:lang w:val="lt-LT"/>
              </w:rPr>
              <w:t>CEPOL</w:t>
            </w:r>
            <w:r w:rsidR="008F0E72">
              <w:rPr>
                <w:color w:val="000000"/>
                <w:lang w:val="lt-LT"/>
              </w:rPr>
              <w:t>)</w:t>
            </w:r>
            <w:r w:rsidR="00EB31E3" w:rsidRPr="00EB31E3">
              <w:rPr>
                <w:color w:val="000000"/>
                <w:lang w:val="lt-LT"/>
              </w:rPr>
              <w:t xml:space="preserve"> ir, kai taikoma, Europos teisėjų mokymo tinklu, įskaitant švietimą ir mokymą apie prevencijos politiką, ypatingą dėmesį skiriant pagrindinėms teisėms ir nediskriminavimui (II priedo 2 dalies a, b punktai);</w:t>
            </w:r>
            <w:r w:rsidR="00EB31E3">
              <w:rPr>
                <w:color w:val="000000"/>
                <w:lang w:val="lt-LT"/>
              </w:rPr>
              <w:t xml:space="preserve"> </w:t>
            </w:r>
          </w:p>
          <w:p w14:paraId="00F42C2C" w14:textId="72D1B7F2" w:rsidR="00A77B3E" w:rsidRPr="009201B2" w:rsidRDefault="00003C2A" w:rsidP="004A5EA0">
            <w:pPr>
              <w:spacing w:before="100"/>
              <w:jc w:val="both"/>
              <w:rPr>
                <w:color w:val="000000"/>
                <w:lang w:val="lt-LT"/>
              </w:rPr>
            </w:pPr>
            <w:r w:rsidRPr="009201B2">
              <w:rPr>
                <w:color w:val="000000"/>
                <w:lang w:val="lt-LT"/>
              </w:rPr>
              <w:t xml:space="preserve">- </w:t>
            </w:r>
            <w:r w:rsidR="008F0E72" w:rsidRPr="008F0E72">
              <w:rPr>
                <w:color w:val="000000"/>
                <w:lang w:val="lt-LT"/>
              </w:rPr>
              <w:t>įrangos, transporto priemonių, ryšių sistemų ir su saugumu susijusių įrenginių finansavimas (II priedo 2 dalies a, b punktai</w:t>
            </w:r>
            <w:r w:rsidRPr="009201B2">
              <w:rPr>
                <w:color w:val="000000"/>
                <w:lang w:val="lt-LT"/>
              </w:rPr>
              <w:t>).</w:t>
            </w:r>
          </w:p>
          <w:p w14:paraId="324F35B4" w14:textId="77777777" w:rsidR="00A77B3E" w:rsidRPr="009201B2" w:rsidRDefault="00A77B3E" w:rsidP="004A5EA0">
            <w:pPr>
              <w:spacing w:before="100"/>
              <w:jc w:val="both"/>
              <w:rPr>
                <w:color w:val="000000"/>
                <w:lang w:val="lt-LT"/>
              </w:rPr>
            </w:pPr>
          </w:p>
          <w:p w14:paraId="23CC0A31" w14:textId="05651451" w:rsidR="00A77B3E" w:rsidRPr="009201B2" w:rsidRDefault="008F0E72" w:rsidP="004A5EA0">
            <w:pPr>
              <w:spacing w:before="100"/>
              <w:jc w:val="both"/>
              <w:rPr>
                <w:color w:val="000000"/>
                <w:lang w:val="lt-LT"/>
              </w:rPr>
            </w:pPr>
            <w:r w:rsidRPr="008F0E72">
              <w:rPr>
                <w:color w:val="000000"/>
                <w:lang w:val="lt-LT"/>
              </w:rPr>
              <w:t>Programa bus pakankamai lanksti, kad būtų galima reaguoti į įvykius ir būsimus poreikius (pvz., ES politiką ir reglamentus).</w:t>
            </w:r>
          </w:p>
          <w:p w14:paraId="65AFC9EF" w14:textId="77777777" w:rsidR="00A77B3E" w:rsidRPr="009201B2" w:rsidRDefault="00A77B3E">
            <w:pPr>
              <w:spacing w:before="100"/>
              <w:rPr>
                <w:color w:val="000000"/>
                <w:lang w:val="lt-LT"/>
              </w:rPr>
            </w:pPr>
          </w:p>
        </w:tc>
      </w:tr>
    </w:tbl>
    <w:p w14:paraId="4EDF3BD6" w14:textId="77777777" w:rsidR="00A77B3E" w:rsidRPr="009201B2" w:rsidRDefault="00A77B3E">
      <w:pPr>
        <w:spacing w:before="100"/>
        <w:rPr>
          <w:color w:val="000000"/>
          <w:lang w:val="lt-LT"/>
        </w:rPr>
        <w:sectPr w:rsidR="00A77B3E" w:rsidRPr="009201B2">
          <w:headerReference w:type="even" r:id="rId30"/>
          <w:headerReference w:type="default" r:id="rId31"/>
          <w:footerReference w:type="even" r:id="rId32"/>
          <w:footerReference w:type="default" r:id="rId33"/>
          <w:headerReference w:type="first" r:id="rId34"/>
          <w:footerReference w:type="first" r:id="rId35"/>
          <w:pgSz w:w="11906" w:h="16838"/>
          <w:pgMar w:top="720" w:right="936" w:bottom="864" w:left="720" w:header="0" w:footer="72" w:gutter="0"/>
          <w:cols w:space="720"/>
          <w:noEndnote/>
          <w:docGrid w:linePitch="360"/>
        </w:sectPr>
      </w:pPr>
    </w:p>
    <w:p w14:paraId="65075B7A" w14:textId="77777777" w:rsidR="00A77B3E" w:rsidRPr="009201B2" w:rsidRDefault="00003C2A">
      <w:pPr>
        <w:spacing w:before="100"/>
        <w:rPr>
          <w:color w:val="000000"/>
          <w:lang w:val="lt-LT"/>
        </w:rPr>
      </w:pPr>
      <w:r w:rsidRPr="009201B2">
        <w:rPr>
          <w:color w:val="000000"/>
          <w:lang w:val="lt-LT"/>
        </w:rPr>
        <w:lastRenderedPageBreak/>
        <w:t>2.1. Konkretus tikslas 2. Tarpvalstybinis bendradarbiavimas</w:t>
      </w:r>
    </w:p>
    <w:p w14:paraId="664D563F"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11" w:name="_Toc256000068"/>
      <w:r w:rsidRPr="009201B2">
        <w:rPr>
          <w:rFonts w:ascii="Times New Roman" w:hAnsi="Times New Roman" w:cs="Times New Roman"/>
          <w:b w:val="0"/>
          <w:color w:val="000000"/>
          <w:sz w:val="24"/>
          <w:lang w:val="lt-LT"/>
        </w:rPr>
        <w:t>2.1.2. Rodikliai</w:t>
      </w:r>
      <w:bookmarkEnd w:id="11"/>
    </w:p>
    <w:p w14:paraId="3FF2A38D"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5A792AF1" w14:textId="77777777" w:rsidR="00A77B3E" w:rsidRPr="009201B2" w:rsidRDefault="00003C2A">
      <w:pPr>
        <w:pStyle w:val="Antrat4"/>
        <w:spacing w:before="100" w:after="0"/>
        <w:rPr>
          <w:b w:val="0"/>
          <w:color w:val="000000"/>
          <w:sz w:val="24"/>
          <w:lang w:val="lt-LT"/>
        </w:rPr>
      </w:pPr>
      <w:bookmarkStart w:id="12" w:name="_Toc256000069"/>
      <w:r w:rsidRPr="009201B2">
        <w:rPr>
          <w:b w:val="0"/>
          <w:color w:val="000000"/>
          <w:sz w:val="24"/>
          <w:lang w:val="lt-LT"/>
        </w:rPr>
        <w:t>1 lentelė. Produkto rodikliai</w:t>
      </w:r>
      <w:bookmarkEnd w:id="12"/>
    </w:p>
    <w:p w14:paraId="75714DC4"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423"/>
        <w:gridCol w:w="1802"/>
        <w:gridCol w:w="2475"/>
        <w:gridCol w:w="2512"/>
      </w:tblGrid>
      <w:tr w:rsidR="00535D32" w:rsidRPr="009201B2" w14:paraId="76C4BBC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C15FD4"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5F2CD"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07173"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CD0D7D" w14:textId="77777777" w:rsidR="00A77B3E" w:rsidRPr="009201B2" w:rsidRDefault="00003C2A">
            <w:pPr>
              <w:spacing w:before="100"/>
              <w:jc w:val="center"/>
              <w:rPr>
                <w:color w:val="000000"/>
                <w:sz w:val="20"/>
                <w:lang w:val="lt-LT"/>
              </w:rPr>
            </w:pPr>
            <w:r w:rsidRPr="009201B2">
              <w:rPr>
                <w:color w:val="000000"/>
                <w:sz w:val="20"/>
                <w:lang w:val="lt-LT"/>
              </w:rPr>
              <w:t>Tarpinė reikšmė (2024 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B3D8B"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r>
      <w:tr w:rsidR="00535D32" w:rsidRPr="009201B2" w14:paraId="3E69B5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3FF81" w14:textId="77777777" w:rsidR="00A77B3E" w:rsidRPr="009201B2" w:rsidRDefault="00003C2A">
            <w:pPr>
              <w:spacing w:before="100"/>
              <w:rPr>
                <w:color w:val="000000"/>
                <w:sz w:val="20"/>
                <w:lang w:val="lt-LT"/>
              </w:rPr>
            </w:pPr>
            <w:r w:rsidRPr="009201B2">
              <w:rPr>
                <w:color w:val="000000"/>
                <w:sz w:val="20"/>
                <w:lang w:val="lt-LT"/>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4DE5C9" w14:textId="77777777" w:rsidR="00A77B3E" w:rsidRPr="009201B2" w:rsidRDefault="00003C2A">
            <w:pPr>
              <w:spacing w:before="100"/>
              <w:rPr>
                <w:color w:val="000000"/>
                <w:sz w:val="20"/>
                <w:lang w:val="lt-LT"/>
              </w:rPr>
            </w:pPr>
            <w:r w:rsidRPr="009201B2">
              <w:rPr>
                <w:color w:val="000000"/>
                <w:sz w:val="20"/>
                <w:lang w:val="lt-LT"/>
              </w:rPr>
              <w:t>Tarpvalstybinių operacijų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75157B"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C5D1C5" w14:textId="77777777" w:rsidR="00A77B3E" w:rsidRPr="009201B2" w:rsidRDefault="00003C2A">
            <w:pPr>
              <w:spacing w:before="100"/>
              <w:jc w:val="right"/>
              <w:rPr>
                <w:color w:val="000000"/>
                <w:sz w:val="20"/>
                <w:lang w:val="lt-LT"/>
              </w:rPr>
            </w:pPr>
            <w:r w:rsidRPr="009201B2">
              <w:rPr>
                <w:color w:val="000000"/>
                <w:sz w:val="20"/>
                <w:lang w:val="lt-L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0D5458" w14:textId="77777777" w:rsidR="00A77B3E" w:rsidRPr="009201B2" w:rsidRDefault="00003C2A">
            <w:pPr>
              <w:spacing w:before="100"/>
              <w:jc w:val="right"/>
              <w:rPr>
                <w:color w:val="000000"/>
                <w:sz w:val="20"/>
                <w:lang w:val="lt-LT"/>
              </w:rPr>
            </w:pPr>
            <w:r w:rsidRPr="009201B2">
              <w:rPr>
                <w:color w:val="000000"/>
                <w:sz w:val="20"/>
                <w:lang w:val="lt-LT"/>
              </w:rPr>
              <w:t>7</w:t>
            </w:r>
          </w:p>
        </w:tc>
      </w:tr>
      <w:tr w:rsidR="00535D32" w:rsidRPr="009201B2" w14:paraId="70B78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E2AF0" w14:textId="77777777" w:rsidR="00A77B3E" w:rsidRPr="009201B2" w:rsidRDefault="00003C2A">
            <w:pPr>
              <w:spacing w:before="100"/>
              <w:rPr>
                <w:color w:val="000000"/>
                <w:sz w:val="20"/>
                <w:lang w:val="lt-LT"/>
              </w:rPr>
            </w:pPr>
            <w:r w:rsidRPr="009201B2">
              <w:rPr>
                <w:color w:val="000000"/>
                <w:sz w:val="20"/>
                <w:lang w:val="lt-LT"/>
              </w:rPr>
              <w:t>O.2.1.1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22F20" w14:textId="77777777" w:rsidR="00A77B3E" w:rsidRPr="009201B2" w:rsidRDefault="00003C2A">
            <w:pPr>
              <w:spacing w:before="100"/>
              <w:rPr>
                <w:color w:val="000000"/>
                <w:sz w:val="20"/>
                <w:lang w:val="lt-LT"/>
              </w:rPr>
            </w:pPr>
            <w:r w:rsidRPr="009201B2">
              <w:rPr>
                <w:color w:val="000000"/>
                <w:sz w:val="20"/>
                <w:lang w:val="lt-LT"/>
              </w:rPr>
              <w:t>Iš jų jungtinių tyrimo grupių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86B4DD"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5851C" w14:textId="77777777" w:rsidR="00A77B3E" w:rsidRPr="009201B2" w:rsidRDefault="00003C2A">
            <w:pPr>
              <w:spacing w:before="100"/>
              <w:jc w:val="right"/>
              <w:rPr>
                <w:color w:val="000000"/>
                <w:sz w:val="20"/>
                <w:lang w:val="lt-LT"/>
              </w:rPr>
            </w:pPr>
            <w:r w:rsidRPr="009201B2">
              <w:rPr>
                <w:color w:val="000000"/>
                <w:sz w:val="20"/>
                <w:lang w:val="lt-L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6062B5" w14:textId="77777777" w:rsidR="00A77B3E" w:rsidRPr="009201B2" w:rsidRDefault="00003C2A">
            <w:pPr>
              <w:spacing w:before="100"/>
              <w:jc w:val="right"/>
              <w:rPr>
                <w:color w:val="000000"/>
                <w:sz w:val="20"/>
                <w:lang w:val="lt-LT"/>
              </w:rPr>
            </w:pPr>
            <w:r w:rsidRPr="009201B2">
              <w:rPr>
                <w:color w:val="000000"/>
                <w:sz w:val="20"/>
                <w:lang w:val="lt-LT"/>
              </w:rPr>
              <w:t>1</w:t>
            </w:r>
          </w:p>
        </w:tc>
      </w:tr>
      <w:tr w:rsidR="00535D32" w:rsidRPr="009201B2" w14:paraId="2E53E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D3AEB" w14:textId="77777777" w:rsidR="00A77B3E" w:rsidRPr="009201B2" w:rsidRDefault="00003C2A">
            <w:pPr>
              <w:spacing w:before="100"/>
              <w:rPr>
                <w:color w:val="000000"/>
                <w:sz w:val="20"/>
                <w:lang w:val="lt-LT"/>
              </w:rPr>
            </w:pPr>
            <w:r w:rsidRPr="009201B2">
              <w:rPr>
                <w:color w:val="000000"/>
                <w:sz w:val="20"/>
                <w:lang w:val="lt-LT"/>
              </w:rPr>
              <w:t>O.2.1.2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A3424" w14:textId="77777777" w:rsidR="00A77B3E" w:rsidRPr="009201B2" w:rsidRDefault="00003C2A">
            <w:pPr>
              <w:spacing w:before="100"/>
              <w:rPr>
                <w:color w:val="000000"/>
                <w:sz w:val="20"/>
                <w:lang w:val="lt-LT"/>
              </w:rPr>
            </w:pPr>
            <w:r w:rsidRPr="009201B2">
              <w:rPr>
                <w:color w:val="000000"/>
                <w:sz w:val="20"/>
                <w:lang w:val="lt-LT"/>
              </w:rPr>
              <w:t>iš kurių ES politikos ciklo / EMPACT operatyvinių veiksmų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0F4311"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C8B91" w14:textId="77777777" w:rsidR="00A77B3E" w:rsidRPr="009201B2" w:rsidRDefault="00003C2A">
            <w:pPr>
              <w:spacing w:before="100"/>
              <w:jc w:val="right"/>
              <w:rPr>
                <w:color w:val="000000"/>
                <w:sz w:val="20"/>
                <w:lang w:val="lt-LT"/>
              </w:rPr>
            </w:pPr>
            <w:r w:rsidRPr="009201B2">
              <w:rPr>
                <w:color w:val="000000"/>
                <w:sz w:val="20"/>
                <w:lang w:val="lt-L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2E97B" w14:textId="77777777" w:rsidR="00A77B3E" w:rsidRPr="009201B2" w:rsidRDefault="00003C2A">
            <w:pPr>
              <w:spacing w:before="100"/>
              <w:jc w:val="right"/>
              <w:rPr>
                <w:color w:val="000000"/>
                <w:sz w:val="20"/>
                <w:lang w:val="lt-LT"/>
              </w:rPr>
            </w:pPr>
            <w:r w:rsidRPr="009201B2">
              <w:rPr>
                <w:color w:val="000000"/>
                <w:sz w:val="20"/>
                <w:lang w:val="lt-LT"/>
              </w:rPr>
              <w:t>6</w:t>
            </w:r>
          </w:p>
        </w:tc>
      </w:tr>
      <w:tr w:rsidR="00535D32" w:rsidRPr="009201B2" w14:paraId="2EEC91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2546DA" w14:textId="77777777" w:rsidR="00A77B3E" w:rsidRPr="009201B2" w:rsidRDefault="00003C2A">
            <w:pPr>
              <w:spacing w:before="100"/>
              <w:rPr>
                <w:color w:val="000000"/>
                <w:sz w:val="20"/>
                <w:lang w:val="lt-LT"/>
              </w:rPr>
            </w:pPr>
            <w:r w:rsidRPr="009201B2">
              <w:rPr>
                <w:color w:val="000000"/>
                <w:sz w:val="20"/>
                <w:lang w:val="lt-LT"/>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1BFB6E" w14:textId="77777777" w:rsidR="00A77B3E" w:rsidRPr="009201B2" w:rsidRDefault="00003C2A">
            <w:pPr>
              <w:spacing w:before="100"/>
              <w:rPr>
                <w:color w:val="000000"/>
                <w:sz w:val="20"/>
                <w:lang w:val="lt-LT"/>
              </w:rPr>
            </w:pPr>
            <w:r w:rsidRPr="009201B2">
              <w:rPr>
                <w:color w:val="000000"/>
                <w:sz w:val="20"/>
                <w:lang w:val="lt-LT"/>
              </w:rPr>
              <w:t>Ekspertų susitikimų / seminarų / studijų vizitų / bendrų pratybų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896376"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B957B2" w14:textId="77777777" w:rsidR="00A77B3E" w:rsidRPr="009201B2" w:rsidRDefault="00003C2A">
            <w:pPr>
              <w:spacing w:before="100"/>
              <w:jc w:val="right"/>
              <w:rPr>
                <w:color w:val="000000"/>
                <w:sz w:val="20"/>
                <w:lang w:val="lt-LT"/>
              </w:rPr>
            </w:pPr>
            <w:r w:rsidRPr="009201B2">
              <w:rPr>
                <w:color w:val="000000"/>
                <w:sz w:val="20"/>
                <w:lang w:val="lt-LT"/>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6197C" w14:textId="77777777" w:rsidR="00A77B3E" w:rsidRPr="009201B2" w:rsidRDefault="00003C2A">
            <w:pPr>
              <w:spacing w:before="100"/>
              <w:jc w:val="right"/>
              <w:rPr>
                <w:color w:val="000000"/>
                <w:sz w:val="20"/>
                <w:lang w:val="lt-LT"/>
              </w:rPr>
            </w:pPr>
            <w:r w:rsidRPr="009201B2">
              <w:rPr>
                <w:color w:val="000000"/>
                <w:sz w:val="20"/>
                <w:lang w:val="lt-LT"/>
              </w:rPr>
              <w:t>42</w:t>
            </w:r>
          </w:p>
        </w:tc>
      </w:tr>
      <w:tr w:rsidR="00535D32" w:rsidRPr="009201B2" w14:paraId="2800B8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91D5EF" w14:textId="77777777" w:rsidR="00A77B3E" w:rsidRPr="009201B2" w:rsidRDefault="00003C2A">
            <w:pPr>
              <w:spacing w:before="100"/>
              <w:rPr>
                <w:color w:val="000000"/>
                <w:sz w:val="20"/>
                <w:lang w:val="lt-LT"/>
              </w:rPr>
            </w:pPr>
            <w:r w:rsidRPr="009201B2">
              <w:rPr>
                <w:color w:val="000000"/>
                <w:sz w:val="20"/>
                <w:lang w:val="lt-LT"/>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9054C" w14:textId="77777777" w:rsidR="00A77B3E" w:rsidRPr="009201B2" w:rsidRDefault="00003C2A">
            <w:pPr>
              <w:spacing w:before="100"/>
              <w:rPr>
                <w:color w:val="000000"/>
                <w:sz w:val="20"/>
                <w:lang w:val="lt-LT"/>
              </w:rPr>
            </w:pPr>
            <w:r w:rsidRPr="009201B2">
              <w:rPr>
                <w:color w:val="000000"/>
                <w:sz w:val="20"/>
                <w:lang w:val="lt-LT"/>
              </w:rPr>
              <w:t>Įsigytos įrangos vienetų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CF56D"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00EA4" w14:textId="77777777" w:rsidR="00A77B3E" w:rsidRPr="009201B2" w:rsidRDefault="00003C2A">
            <w:pPr>
              <w:spacing w:before="100"/>
              <w:jc w:val="right"/>
              <w:rPr>
                <w:color w:val="000000"/>
                <w:sz w:val="20"/>
                <w:lang w:val="lt-LT"/>
              </w:rPr>
            </w:pPr>
            <w:r w:rsidRPr="009201B2">
              <w:rPr>
                <w:color w:val="000000"/>
                <w:sz w:val="20"/>
                <w:lang w:val="lt-LT"/>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EA4B0" w14:textId="77777777" w:rsidR="00A77B3E" w:rsidRPr="009201B2" w:rsidRDefault="00003C2A">
            <w:pPr>
              <w:spacing w:before="100"/>
              <w:jc w:val="right"/>
              <w:rPr>
                <w:color w:val="000000"/>
                <w:sz w:val="20"/>
                <w:lang w:val="lt-LT"/>
              </w:rPr>
            </w:pPr>
            <w:r w:rsidRPr="009201B2">
              <w:rPr>
                <w:color w:val="000000"/>
                <w:sz w:val="20"/>
                <w:lang w:val="lt-LT"/>
              </w:rPr>
              <w:t>84</w:t>
            </w:r>
          </w:p>
        </w:tc>
      </w:tr>
      <w:tr w:rsidR="00535D32" w:rsidRPr="009201B2" w14:paraId="402684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A74236" w14:textId="77777777" w:rsidR="00A77B3E" w:rsidRPr="009201B2" w:rsidRDefault="00003C2A">
            <w:pPr>
              <w:spacing w:before="100"/>
              <w:rPr>
                <w:color w:val="000000"/>
                <w:sz w:val="20"/>
                <w:lang w:val="lt-LT"/>
              </w:rPr>
            </w:pPr>
            <w:r w:rsidRPr="009201B2">
              <w:rPr>
                <w:color w:val="000000"/>
                <w:sz w:val="20"/>
                <w:lang w:val="lt-LT"/>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A3E89C" w14:textId="77777777" w:rsidR="00A77B3E" w:rsidRPr="009201B2" w:rsidRDefault="00003C2A">
            <w:pPr>
              <w:spacing w:before="100"/>
              <w:rPr>
                <w:color w:val="000000"/>
                <w:sz w:val="20"/>
                <w:lang w:val="lt-LT"/>
              </w:rPr>
            </w:pPr>
            <w:r w:rsidRPr="009201B2">
              <w:rPr>
                <w:color w:val="000000"/>
                <w:sz w:val="20"/>
                <w:lang w:val="lt-LT"/>
              </w:rPr>
              <w:t>Tarpvalstybinėms operacijoms įsigytų transporto priemonių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F7E16"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514E4" w14:textId="77777777" w:rsidR="00A77B3E" w:rsidRPr="009201B2" w:rsidRDefault="00003C2A">
            <w:pPr>
              <w:spacing w:before="100"/>
              <w:jc w:val="right"/>
              <w:rPr>
                <w:color w:val="000000"/>
                <w:sz w:val="20"/>
                <w:lang w:val="lt-LT"/>
              </w:rPr>
            </w:pPr>
            <w:r w:rsidRPr="009201B2">
              <w:rPr>
                <w:color w:val="000000"/>
                <w:sz w:val="20"/>
                <w:lang w:val="lt-L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F5541" w14:textId="77777777" w:rsidR="00A77B3E" w:rsidRPr="009201B2" w:rsidRDefault="00003C2A">
            <w:pPr>
              <w:spacing w:before="100"/>
              <w:jc w:val="right"/>
              <w:rPr>
                <w:color w:val="000000"/>
                <w:sz w:val="20"/>
                <w:lang w:val="lt-LT"/>
              </w:rPr>
            </w:pPr>
            <w:r w:rsidRPr="009201B2">
              <w:rPr>
                <w:color w:val="000000"/>
                <w:sz w:val="20"/>
                <w:lang w:val="lt-LT"/>
              </w:rPr>
              <w:t>14</w:t>
            </w:r>
          </w:p>
        </w:tc>
      </w:tr>
    </w:tbl>
    <w:p w14:paraId="20A837B7" w14:textId="77777777" w:rsidR="00A77B3E" w:rsidRPr="009201B2" w:rsidRDefault="00003C2A">
      <w:pPr>
        <w:spacing w:before="100"/>
        <w:rPr>
          <w:color w:val="000000"/>
          <w:lang w:val="lt-LT"/>
        </w:rPr>
      </w:pPr>
      <w:r w:rsidRPr="009201B2">
        <w:rPr>
          <w:color w:val="000000"/>
          <w:sz w:val="20"/>
          <w:lang w:val="lt-LT"/>
        </w:rPr>
        <w:br w:type="page"/>
      </w:r>
      <w:r w:rsidRPr="009201B2">
        <w:rPr>
          <w:color w:val="000000"/>
          <w:lang w:val="lt-LT"/>
        </w:rPr>
        <w:lastRenderedPageBreak/>
        <w:t>2.1. Konkretus tikslas 2. Tarpvalstybinis bendradarbiavimas</w:t>
      </w:r>
    </w:p>
    <w:p w14:paraId="706E2AC3" w14:textId="77777777" w:rsidR="00A77B3E" w:rsidRPr="009201B2" w:rsidRDefault="00003C2A">
      <w:pPr>
        <w:spacing w:before="100"/>
        <w:rPr>
          <w:color w:val="000000"/>
          <w:sz w:val="0"/>
          <w:lang w:val="lt-LT"/>
        </w:rPr>
      </w:pPr>
      <w:r w:rsidRPr="009201B2">
        <w:rPr>
          <w:color w:val="000000"/>
          <w:lang w:val="lt-LT"/>
        </w:rPr>
        <w:t>2.1.2. Rodikliai</w:t>
      </w:r>
    </w:p>
    <w:p w14:paraId="4D6B7F63"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3002DF3E" w14:textId="77777777" w:rsidR="00A77B3E" w:rsidRPr="009201B2" w:rsidRDefault="00003C2A">
      <w:pPr>
        <w:pStyle w:val="Antrat4"/>
        <w:spacing w:before="100" w:after="0"/>
        <w:rPr>
          <w:b w:val="0"/>
          <w:color w:val="000000"/>
          <w:sz w:val="24"/>
          <w:lang w:val="lt-LT"/>
        </w:rPr>
      </w:pPr>
      <w:bookmarkStart w:id="13" w:name="_Toc256000070"/>
      <w:r w:rsidRPr="009201B2">
        <w:rPr>
          <w:b w:val="0"/>
          <w:color w:val="000000"/>
          <w:sz w:val="24"/>
          <w:lang w:val="lt-LT"/>
        </w:rPr>
        <w:t>2 lentelė. Rezultato rodikliai</w:t>
      </w:r>
      <w:bookmarkEnd w:id="13"/>
    </w:p>
    <w:p w14:paraId="793B2509"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535D32" w:rsidRPr="009201B2" w14:paraId="208BB43B"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8D077"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324B5D"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81D213"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511F2" w14:textId="77777777" w:rsidR="00A77B3E" w:rsidRPr="009201B2" w:rsidRDefault="00003C2A">
            <w:pPr>
              <w:spacing w:before="100"/>
              <w:jc w:val="center"/>
              <w:rPr>
                <w:color w:val="000000"/>
                <w:sz w:val="20"/>
                <w:lang w:val="lt-LT"/>
              </w:rPr>
            </w:pPr>
            <w:r w:rsidRPr="009201B2">
              <w:rPr>
                <w:color w:val="000000"/>
                <w:sz w:val="20"/>
                <w:lang w:val="lt-LT"/>
              </w:rPr>
              <w:t>Pradinė reikšmė</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6E5219" w14:textId="77777777" w:rsidR="00A77B3E" w:rsidRPr="009201B2" w:rsidRDefault="00003C2A">
            <w:pPr>
              <w:spacing w:before="100"/>
              <w:jc w:val="center"/>
              <w:rPr>
                <w:color w:val="000000"/>
                <w:sz w:val="20"/>
                <w:lang w:val="lt-LT"/>
              </w:rPr>
            </w:pPr>
            <w:r w:rsidRPr="009201B2">
              <w:rPr>
                <w:color w:val="000000"/>
                <w:sz w:val="20"/>
                <w:lang w:val="lt-LT"/>
              </w:rPr>
              <w:t>Pradinės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0531C" w14:textId="77777777" w:rsidR="00A77B3E" w:rsidRPr="009201B2" w:rsidRDefault="00003C2A">
            <w:pPr>
              <w:spacing w:before="100"/>
              <w:jc w:val="center"/>
              <w:rPr>
                <w:color w:val="000000"/>
                <w:sz w:val="20"/>
                <w:lang w:val="lt-LT"/>
              </w:rPr>
            </w:pPr>
            <w:r w:rsidRPr="009201B2">
              <w:rPr>
                <w:color w:val="000000"/>
                <w:sz w:val="20"/>
                <w:lang w:val="lt-LT"/>
              </w:rPr>
              <w:t>Ataskaitiniai metai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144B1"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52D3D" w14:textId="77777777" w:rsidR="00A77B3E" w:rsidRPr="009201B2" w:rsidRDefault="00003C2A">
            <w:pPr>
              <w:spacing w:before="100"/>
              <w:jc w:val="center"/>
              <w:rPr>
                <w:color w:val="000000"/>
                <w:sz w:val="20"/>
                <w:lang w:val="lt-LT"/>
              </w:rPr>
            </w:pPr>
            <w:r w:rsidRPr="009201B2">
              <w:rPr>
                <w:color w:val="000000"/>
                <w:sz w:val="20"/>
                <w:lang w:val="lt-LT"/>
              </w:rPr>
              <w:t>Galutinės skirtas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A56F6D" w14:textId="77777777" w:rsidR="00A77B3E" w:rsidRPr="009201B2" w:rsidRDefault="00003C2A">
            <w:pPr>
              <w:spacing w:before="100"/>
              <w:jc w:val="center"/>
              <w:rPr>
                <w:color w:val="000000"/>
                <w:sz w:val="20"/>
                <w:lang w:val="lt-LT"/>
              </w:rPr>
            </w:pPr>
            <w:r w:rsidRPr="009201B2">
              <w:rPr>
                <w:color w:val="000000"/>
                <w:sz w:val="20"/>
                <w:lang w:val="lt-LT"/>
              </w:rPr>
              <w:t>Duomenų šaltinis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B08283" w14:textId="77777777" w:rsidR="00A77B3E" w:rsidRPr="009201B2" w:rsidRDefault="00003C2A">
            <w:pPr>
              <w:spacing w:before="100"/>
              <w:rPr>
                <w:color w:val="000000"/>
                <w:sz w:val="20"/>
                <w:lang w:val="lt-LT"/>
              </w:rPr>
            </w:pPr>
            <w:r w:rsidRPr="009201B2">
              <w:rPr>
                <w:color w:val="000000"/>
                <w:sz w:val="20"/>
                <w:lang w:val="lt-LT"/>
              </w:rPr>
              <w:t>Pastabos</w:t>
            </w:r>
          </w:p>
        </w:tc>
      </w:tr>
      <w:tr w:rsidR="00535D32" w:rsidRPr="009201B2" w14:paraId="036F412D"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E10B4" w14:textId="77777777" w:rsidR="00A77B3E" w:rsidRPr="009201B2" w:rsidRDefault="00003C2A">
            <w:pPr>
              <w:spacing w:before="100"/>
              <w:rPr>
                <w:color w:val="000000"/>
                <w:sz w:val="20"/>
                <w:lang w:val="lt-LT"/>
              </w:rPr>
            </w:pPr>
            <w:r w:rsidRPr="009201B2">
              <w:rPr>
                <w:color w:val="000000"/>
                <w:sz w:val="20"/>
                <w:lang w:val="lt-LT"/>
              </w:rPr>
              <w:t>R.2.5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397FE" w14:textId="77777777" w:rsidR="00A77B3E" w:rsidRPr="009201B2" w:rsidRDefault="00003C2A">
            <w:pPr>
              <w:spacing w:before="100"/>
              <w:rPr>
                <w:color w:val="000000"/>
                <w:sz w:val="20"/>
                <w:lang w:val="lt-LT"/>
              </w:rPr>
            </w:pPr>
            <w:r w:rsidRPr="009201B2">
              <w:rPr>
                <w:color w:val="000000"/>
                <w:sz w:val="20"/>
                <w:lang w:val="lt-LT"/>
              </w:rPr>
              <w:t xml:space="preserve">Apskaičiuota įšaldyto turto vertė vykdant tarpvalstybines operacijas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AB382" w14:textId="77777777" w:rsidR="00A77B3E" w:rsidRPr="009201B2" w:rsidRDefault="00003C2A">
            <w:pPr>
              <w:spacing w:before="100"/>
              <w:rPr>
                <w:color w:val="000000"/>
                <w:sz w:val="20"/>
                <w:lang w:val="lt-LT"/>
              </w:rPr>
            </w:pPr>
            <w:r w:rsidRPr="009201B2">
              <w:rPr>
                <w:color w:val="000000"/>
                <w:sz w:val="20"/>
                <w:lang w:val="lt-LT"/>
              </w:rPr>
              <w:t>suma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5399A"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F8556" w14:textId="77777777" w:rsidR="00A77B3E" w:rsidRPr="009201B2" w:rsidRDefault="00003C2A">
            <w:pPr>
              <w:spacing w:before="100"/>
              <w:rPr>
                <w:color w:val="000000"/>
                <w:sz w:val="20"/>
                <w:lang w:val="lt-LT"/>
              </w:rPr>
            </w:pPr>
            <w:r w:rsidRPr="009201B2">
              <w:rPr>
                <w:color w:val="000000"/>
                <w:sz w:val="20"/>
                <w:lang w:val="lt-LT"/>
              </w:rPr>
              <w:t>eurai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B1D85"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832A9" w14:textId="77777777" w:rsidR="00A77B3E" w:rsidRPr="009201B2" w:rsidRDefault="00003C2A">
            <w:pPr>
              <w:spacing w:before="100"/>
              <w:jc w:val="center"/>
              <w:rPr>
                <w:color w:val="000000"/>
                <w:sz w:val="20"/>
                <w:lang w:val="lt-LT"/>
              </w:rPr>
            </w:pPr>
            <w:r w:rsidRPr="009201B2">
              <w:rPr>
                <w:color w:val="000000"/>
                <w:sz w:val="20"/>
                <w:lang w:val="lt-LT"/>
              </w:rPr>
              <w:t>38 000 000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C51D7" w14:textId="77777777" w:rsidR="00A77B3E" w:rsidRPr="009201B2" w:rsidRDefault="00003C2A">
            <w:pPr>
              <w:spacing w:before="100"/>
              <w:rPr>
                <w:color w:val="000000"/>
                <w:sz w:val="20"/>
                <w:lang w:val="lt-LT"/>
              </w:rPr>
            </w:pPr>
            <w:r w:rsidRPr="009201B2">
              <w:rPr>
                <w:color w:val="000000"/>
                <w:sz w:val="20"/>
                <w:lang w:val="lt-LT"/>
              </w:rPr>
              <w:t>suma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C73C8" w14:textId="77777777" w:rsidR="00A77B3E" w:rsidRPr="009201B2" w:rsidRDefault="00003C2A">
            <w:pPr>
              <w:spacing w:before="100"/>
              <w:rPr>
                <w:color w:val="000000"/>
                <w:sz w:val="20"/>
                <w:lang w:val="lt-LT"/>
              </w:rPr>
            </w:pPr>
            <w:r w:rsidRPr="009201B2">
              <w:rPr>
                <w:color w:val="000000"/>
                <w:sz w:val="20"/>
                <w:lang w:val="lt-LT"/>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28EDB" w14:textId="77777777" w:rsidR="00A77B3E" w:rsidRPr="009201B2" w:rsidRDefault="00A77B3E">
            <w:pPr>
              <w:spacing w:before="100"/>
              <w:rPr>
                <w:color w:val="000000"/>
                <w:sz w:val="20"/>
                <w:lang w:val="lt-LT"/>
              </w:rPr>
            </w:pPr>
          </w:p>
        </w:tc>
      </w:tr>
      <w:tr w:rsidR="00535D32" w:rsidRPr="009201B2" w14:paraId="52A6C52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4181D" w14:textId="77777777" w:rsidR="00A77B3E" w:rsidRPr="009201B2" w:rsidRDefault="00003C2A">
            <w:pPr>
              <w:spacing w:before="100"/>
              <w:rPr>
                <w:color w:val="000000"/>
                <w:sz w:val="20"/>
                <w:lang w:val="lt-LT"/>
              </w:rPr>
            </w:pPr>
            <w:r w:rsidRPr="009201B2">
              <w:rPr>
                <w:color w:val="000000"/>
                <w:sz w:val="20"/>
                <w:lang w:val="lt-LT"/>
              </w:rPr>
              <w:t>R.2.6.1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DF64A" w14:textId="77777777" w:rsidR="00A77B3E" w:rsidRPr="009201B2" w:rsidRDefault="00003C2A">
            <w:pPr>
              <w:spacing w:before="100"/>
              <w:rPr>
                <w:color w:val="000000"/>
                <w:sz w:val="20"/>
                <w:lang w:val="lt-LT"/>
              </w:rPr>
            </w:pPr>
            <w:r w:rsidRPr="009201B2">
              <w:rPr>
                <w:color w:val="000000"/>
                <w:sz w:val="20"/>
                <w:lang w:val="lt-LT"/>
              </w:rPr>
              <w:t>Per tarpvalstybines operacijas konfiskuotų neteisėtų narkotikų kiekis – kanapės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E41FB"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636DE"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39FB7"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30ABE"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FFE02"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0442E"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46E0F"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E4A8" w14:textId="77777777" w:rsidR="00A77B3E" w:rsidRPr="009201B2" w:rsidRDefault="00A77B3E">
            <w:pPr>
              <w:spacing w:before="100"/>
              <w:rPr>
                <w:color w:val="000000"/>
                <w:sz w:val="20"/>
                <w:lang w:val="lt-LT"/>
              </w:rPr>
            </w:pPr>
          </w:p>
        </w:tc>
      </w:tr>
      <w:tr w:rsidR="00535D32" w:rsidRPr="009201B2" w14:paraId="7FB377A1"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5D430" w14:textId="77777777" w:rsidR="00A77B3E" w:rsidRPr="009201B2" w:rsidRDefault="00003C2A">
            <w:pPr>
              <w:spacing w:before="100"/>
              <w:rPr>
                <w:color w:val="000000"/>
                <w:sz w:val="20"/>
                <w:lang w:val="lt-LT"/>
              </w:rPr>
            </w:pPr>
            <w:r w:rsidRPr="009201B2">
              <w:rPr>
                <w:color w:val="000000"/>
                <w:sz w:val="20"/>
                <w:lang w:val="lt-LT"/>
              </w:rPr>
              <w:t>R.2.6.2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A14AC" w14:textId="77777777" w:rsidR="00A77B3E" w:rsidRPr="009201B2" w:rsidRDefault="00003C2A">
            <w:pPr>
              <w:spacing w:before="100"/>
              <w:rPr>
                <w:color w:val="000000"/>
                <w:sz w:val="20"/>
                <w:lang w:val="lt-LT"/>
              </w:rPr>
            </w:pPr>
            <w:r w:rsidRPr="009201B2">
              <w:rPr>
                <w:color w:val="000000"/>
                <w:sz w:val="20"/>
                <w:lang w:val="lt-LT"/>
              </w:rPr>
              <w:t>Per tarpvalstybines operacijas konfiskuotų neteisėtų narkotikų kiekis - opioidai, įskaitant heroiną</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7DF27"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BEBF"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A8EA9"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FCB2D"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258C3"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3FB65"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02144"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903CB" w14:textId="77777777" w:rsidR="00A77B3E" w:rsidRPr="009201B2" w:rsidRDefault="00A77B3E">
            <w:pPr>
              <w:spacing w:before="100"/>
              <w:rPr>
                <w:color w:val="000000"/>
                <w:sz w:val="20"/>
                <w:lang w:val="lt-LT"/>
              </w:rPr>
            </w:pPr>
          </w:p>
        </w:tc>
      </w:tr>
      <w:tr w:rsidR="00535D32" w:rsidRPr="009201B2" w14:paraId="462B6F3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1697B" w14:textId="77777777" w:rsidR="00A77B3E" w:rsidRPr="009201B2" w:rsidRDefault="00003C2A">
            <w:pPr>
              <w:spacing w:before="100"/>
              <w:rPr>
                <w:color w:val="000000"/>
                <w:sz w:val="20"/>
                <w:lang w:val="lt-LT"/>
              </w:rPr>
            </w:pPr>
            <w:r w:rsidRPr="009201B2">
              <w:rPr>
                <w:color w:val="000000"/>
                <w:sz w:val="20"/>
                <w:lang w:val="lt-LT"/>
              </w:rPr>
              <w:t>R.2.6.3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84F41" w14:textId="77777777" w:rsidR="00A77B3E" w:rsidRPr="009201B2" w:rsidRDefault="00003C2A">
            <w:pPr>
              <w:spacing w:before="100"/>
              <w:rPr>
                <w:color w:val="000000"/>
                <w:sz w:val="20"/>
                <w:lang w:val="lt-LT"/>
              </w:rPr>
            </w:pPr>
            <w:r w:rsidRPr="009201B2">
              <w:rPr>
                <w:color w:val="000000"/>
                <w:sz w:val="20"/>
                <w:lang w:val="lt-LT"/>
              </w:rPr>
              <w:t>Per tarpvalstybines operacijas konfiskuotų neteisėtų narkotikų kiekis – kokainas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53399"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95D42"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7D5F"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5A1E5"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095C0"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DAC22"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175D5"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25248" w14:textId="77777777" w:rsidR="00A77B3E" w:rsidRPr="009201B2" w:rsidRDefault="00A77B3E">
            <w:pPr>
              <w:spacing w:before="100"/>
              <w:rPr>
                <w:color w:val="000000"/>
                <w:sz w:val="20"/>
                <w:lang w:val="lt-LT"/>
              </w:rPr>
            </w:pPr>
          </w:p>
        </w:tc>
      </w:tr>
      <w:tr w:rsidR="00535D32" w:rsidRPr="009201B2" w14:paraId="3AF4383D"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59F3E" w14:textId="77777777" w:rsidR="00A77B3E" w:rsidRPr="009201B2" w:rsidRDefault="00003C2A">
            <w:pPr>
              <w:spacing w:before="100"/>
              <w:rPr>
                <w:color w:val="000000"/>
                <w:sz w:val="20"/>
                <w:lang w:val="lt-LT"/>
              </w:rPr>
            </w:pPr>
            <w:r w:rsidRPr="009201B2">
              <w:rPr>
                <w:color w:val="000000"/>
                <w:sz w:val="20"/>
                <w:lang w:val="lt-LT"/>
              </w:rPr>
              <w:t>R.2.6.4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ACB56" w14:textId="77777777" w:rsidR="00A77B3E" w:rsidRPr="009201B2" w:rsidRDefault="00003C2A">
            <w:pPr>
              <w:spacing w:before="100"/>
              <w:rPr>
                <w:color w:val="000000"/>
                <w:sz w:val="20"/>
                <w:lang w:val="lt-LT"/>
              </w:rPr>
            </w:pPr>
            <w:r w:rsidRPr="009201B2">
              <w:rPr>
                <w:color w:val="000000"/>
                <w:sz w:val="20"/>
                <w:lang w:val="lt-LT"/>
              </w:rPr>
              <w:t>Per tarpvalstybines operacijas konfiskuotų neteisėtų narkotikų kiekis - sintetiniai narkotikai, įskaitant amfetamino tipo stimuliatorius (įskaitant amfetaminą ir metamfetaminą) ir MDMA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79CD2"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82AC8"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E3CA8"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9D890"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5FCDA"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230A7"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16172"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3FFAC" w14:textId="77777777" w:rsidR="00A77B3E" w:rsidRPr="009201B2" w:rsidRDefault="00A77B3E">
            <w:pPr>
              <w:spacing w:before="100"/>
              <w:rPr>
                <w:color w:val="000000"/>
                <w:sz w:val="20"/>
                <w:lang w:val="lt-LT"/>
              </w:rPr>
            </w:pPr>
          </w:p>
        </w:tc>
      </w:tr>
      <w:tr w:rsidR="00535D32" w:rsidRPr="009201B2" w14:paraId="15C7212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E42F8" w14:textId="77777777" w:rsidR="00A77B3E" w:rsidRPr="009201B2" w:rsidRDefault="00003C2A">
            <w:pPr>
              <w:spacing w:before="100"/>
              <w:rPr>
                <w:color w:val="000000"/>
                <w:sz w:val="20"/>
                <w:lang w:val="lt-LT"/>
              </w:rPr>
            </w:pPr>
            <w:r w:rsidRPr="009201B2">
              <w:rPr>
                <w:color w:val="000000"/>
                <w:sz w:val="20"/>
                <w:lang w:val="lt-LT"/>
              </w:rPr>
              <w:t>R.2.6.5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BF086" w14:textId="77777777" w:rsidR="00A77B3E" w:rsidRPr="009201B2" w:rsidRDefault="00003C2A">
            <w:pPr>
              <w:spacing w:before="100"/>
              <w:rPr>
                <w:color w:val="000000"/>
                <w:sz w:val="20"/>
                <w:lang w:val="lt-LT"/>
              </w:rPr>
            </w:pPr>
            <w:r w:rsidRPr="009201B2">
              <w:rPr>
                <w:color w:val="000000"/>
                <w:sz w:val="20"/>
                <w:lang w:val="lt-LT"/>
              </w:rPr>
              <w:t xml:space="preserve">Per tarpvalstybines operacijas konfiskuotų neteisėtų narkotikų kiekis </w:t>
            </w:r>
            <w:r w:rsidRPr="009201B2">
              <w:rPr>
                <w:color w:val="000000"/>
                <w:sz w:val="20"/>
                <w:lang w:val="lt-LT"/>
              </w:rPr>
              <w:lastRenderedPageBreak/>
              <w:t>– naujos psichoaktyviosios medžiagos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702A6" w14:textId="77777777" w:rsidR="00A77B3E" w:rsidRPr="009201B2" w:rsidRDefault="00003C2A">
            <w:pPr>
              <w:spacing w:before="100"/>
              <w:rPr>
                <w:color w:val="000000"/>
                <w:sz w:val="20"/>
                <w:lang w:val="lt-LT"/>
              </w:rPr>
            </w:pPr>
            <w:r w:rsidRPr="009201B2">
              <w:rPr>
                <w:color w:val="000000"/>
                <w:sz w:val="20"/>
                <w:lang w:val="lt-LT"/>
              </w:rPr>
              <w:lastRenderedPageBreak/>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D561A"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CD4F9"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330C5"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2C704"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9A8EF"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2D9C6"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97200" w14:textId="77777777" w:rsidR="00A77B3E" w:rsidRPr="009201B2" w:rsidRDefault="00A77B3E">
            <w:pPr>
              <w:spacing w:before="100"/>
              <w:rPr>
                <w:color w:val="000000"/>
                <w:sz w:val="20"/>
                <w:lang w:val="lt-LT"/>
              </w:rPr>
            </w:pPr>
          </w:p>
        </w:tc>
      </w:tr>
      <w:tr w:rsidR="00535D32" w:rsidRPr="009201B2" w14:paraId="21FBC19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F7CA9" w14:textId="77777777" w:rsidR="00A77B3E" w:rsidRPr="009201B2" w:rsidRDefault="00003C2A">
            <w:pPr>
              <w:spacing w:before="100"/>
              <w:rPr>
                <w:color w:val="000000"/>
                <w:sz w:val="20"/>
                <w:lang w:val="lt-LT"/>
              </w:rPr>
            </w:pPr>
            <w:r w:rsidRPr="009201B2">
              <w:rPr>
                <w:color w:val="000000"/>
                <w:sz w:val="20"/>
                <w:lang w:val="lt-LT"/>
              </w:rPr>
              <w:lastRenderedPageBreak/>
              <w:t>R.2.6.6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E084E" w14:textId="77777777" w:rsidR="00A77B3E" w:rsidRPr="009201B2" w:rsidRDefault="00003C2A">
            <w:pPr>
              <w:spacing w:before="100"/>
              <w:rPr>
                <w:color w:val="000000"/>
                <w:sz w:val="20"/>
                <w:lang w:val="lt-LT"/>
              </w:rPr>
            </w:pPr>
            <w:r w:rsidRPr="009201B2">
              <w:rPr>
                <w:color w:val="000000"/>
                <w:sz w:val="20"/>
                <w:lang w:val="lt-LT"/>
              </w:rPr>
              <w:t>Per tarpvalstybines operacijas konfiskuotų neteisėtų narkotikų kiekis – kiti neteisėti narkotikai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178EA"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AE75"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98550"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C1A7E"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11BE"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261D1" w14:textId="77777777" w:rsidR="00A77B3E" w:rsidRPr="009201B2" w:rsidRDefault="00003C2A">
            <w:pPr>
              <w:spacing w:before="100"/>
              <w:rPr>
                <w:color w:val="000000"/>
                <w:sz w:val="20"/>
                <w:lang w:val="lt-LT"/>
              </w:rPr>
            </w:pPr>
            <w:r w:rsidRPr="009201B2">
              <w:rPr>
                <w:color w:val="000000"/>
                <w:sz w:val="20"/>
                <w:lang w:val="lt-LT"/>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F66D1"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83C3D" w14:textId="77777777" w:rsidR="00A77B3E" w:rsidRPr="009201B2" w:rsidRDefault="00A77B3E">
            <w:pPr>
              <w:spacing w:before="100"/>
              <w:rPr>
                <w:color w:val="000000"/>
                <w:sz w:val="20"/>
                <w:lang w:val="lt-LT"/>
              </w:rPr>
            </w:pPr>
          </w:p>
        </w:tc>
      </w:tr>
      <w:tr w:rsidR="00535D32" w:rsidRPr="009201B2" w14:paraId="31589A4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F4228" w14:textId="77777777" w:rsidR="00A77B3E" w:rsidRPr="009201B2" w:rsidRDefault="00003C2A">
            <w:pPr>
              <w:spacing w:before="100"/>
              <w:rPr>
                <w:color w:val="000000"/>
                <w:sz w:val="20"/>
                <w:lang w:val="lt-LT"/>
              </w:rPr>
            </w:pPr>
            <w:r w:rsidRPr="009201B2">
              <w:rPr>
                <w:color w:val="000000"/>
                <w:sz w:val="20"/>
                <w:lang w:val="lt-LT"/>
              </w:rPr>
              <w:t>R.2.7.1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9D31E" w14:textId="77777777" w:rsidR="00A77B3E" w:rsidRPr="009201B2" w:rsidRDefault="00003C2A">
            <w:pPr>
              <w:spacing w:before="100"/>
              <w:rPr>
                <w:color w:val="000000"/>
                <w:sz w:val="20"/>
                <w:lang w:val="lt-LT"/>
              </w:rPr>
            </w:pPr>
            <w:r w:rsidRPr="009201B2">
              <w:rPr>
                <w:color w:val="000000"/>
                <w:sz w:val="20"/>
                <w:lang w:val="lt-LT"/>
              </w:rPr>
              <w:t>Per tarpvalstybines operacijas konfiskuotų ginklų kiekis – kariniai ginklai: automatiniai šaunamieji ginklai ir sunkieji šaunamieji ginklai (prieštankiniai ginklai, raketų paleidimo įrenginiai, minosvaidžiai ir kt.)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516E4"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BFF60"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0B17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5B0F3"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21806"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04511"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6816E"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041CA" w14:textId="77777777" w:rsidR="00A77B3E" w:rsidRPr="009201B2" w:rsidRDefault="00A77B3E">
            <w:pPr>
              <w:spacing w:before="100"/>
              <w:rPr>
                <w:color w:val="000000"/>
                <w:sz w:val="20"/>
                <w:lang w:val="lt-LT"/>
              </w:rPr>
            </w:pPr>
          </w:p>
        </w:tc>
      </w:tr>
      <w:tr w:rsidR="00535D32" w:rsidRPr="009201B2" w14:paraId="22EB5BD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382F7" w14:textId="77777777" w:rsidR="00A77B3E" w:rsidRPr="009201B2" w:rsidRDefault="00003C2A">
            <w:pPr>
              <w:spacing w:before="100"/>
              <w:rPr>
                <w:color w:val="000000"/>
                <w:sz w:val="20"/>
                <w:lang w:val="lt-LT"/>
              </w:rPr>
            </w:pPr>
            <w:r w:rsidRPr="009201B2">
              <w:rPr>
                <w:color w:val="000000"/>
                <w:sz w:val="20"/>
                <w:lang w:val="lt-LT"/>
              </w:rPr>
              <w:t>R.2.7.2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40A29" w14:textId="77777777" w:rsidR="00A77B3E" w:rsidRPr="009201B2" w:rsidRDefault="00003C2A">
            <w:pPr>
              <w:spacing w:before="100"/>
              <w:rPr>
                <w:color w:val="000000"/>
                <w:sz w:val="20"/>
                <w:lang w:val="lt-LT"/>
              </w:rPr>
            </w:pPr>
            <w:r w:rsidRPr="009201B2">
              <w:rPr>
                <w:color w:val="000000"/>
                <w:sz w:val="20"/>
                <w:lang w:val="lt-LT"/>
              </w:rPr>
              <w:t>Per tarpvalstybines operacijas konfiskuotų ginklų skaičius – kiti trumpieji šaunamieji ginklai: revolveriai ir pistoletai (įskaitant imitacinius ginklus)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684DD"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3CE14"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5BB87"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7E311"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EBF6B"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252B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BCB63"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66271" w14:textId="77777777" w:rsidR="00A77B3E" w:rsidRPr="009201B2" w:rsidRDefault="00A77B3E">
            <w:pPr>
              <w:spacing w:before="100"/>
              <w:rPr>
                <w:color w:val="000000"/>
                <w:sz w:val="20"/>
                <w:lang w:val="lt-LT"/>
              </w:rPr>
            </w:pPr>
          </w:p>
        </w:tc>
      </w:tr>
      <w:tr w:rsidR="00535D32" w:rsidRPr="009201B2" w14:paraId="4ED56E7B"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62A8" w14:textId="77777777" w:rsidR="00A77B3E" w:rsidRPr="009201B2" w:rsidRDefault="00003C2A">
            <w:pPr>
              <w:spacing w:before="100"/>
              <w:rPr>
                <w:color w:val="000000"/>
                <w:sz w:val="20"/>
                <w:lang w:val="lt-LT"/>
              </w:rPr>
            </w:pPr>
            <w:r w:rsidRPr="009201B2">
              <w:rPr>
                <w:color w:val="000000"/>
                <w:sz w:val="20"/>
                <w:lang w:val="lt-LT"/>
              </w:rPr>
              <w:t>R.2.7.3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8A42B" w14:textId="77777777" w:rsidR="00A77B3E" w:rsidRPr="009201B2" w:rsidRDefault="00003C2A">
            <w:pPr>
              <w:spacing w:before="100"/>
              <w:rPr>
                <w:color w:val="000000"/>
                <w:sz w:val="20"/>
                <w:lang w:val="lt-LT"/>
              </w:rPr>
            </w:pPr>
            <w:r w:rsidRPr="009201B2">
              <w:rPr>
                <w:color w:val="000000"/>
                <w:sz w:val="20"/>
                <w:lang w:val="lt-LT"/>
              </w:rPr>
              <w:t>Per tarpvalstybines operacijas konfiskuotų ginklų skaičius – kiti ilgieji šaunamieji ginklai: šautuvai ir lygiavamzdžiai šautuvai (įskaitant imitacinius ginklus)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ED6FE"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AB228"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160E1"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E61FE"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22756"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BF4D3"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BE952"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297C6" w14:textId="77777777" w:rsidR="00A77B3E" w:rsidRPr="009201B2" w:rsidRDefault="00A77B3E">
            <w:pPr>
              <w:spacing w:before="100"/>
              <w:rPr>
                <w:color w:val="000000"/>
                <w:sz w:val="20"/>
                <w:lang w:val="lt-LT"/>
              </w:rPr>
            </w:pPr>
          </w:p>
        </w:tc>
      </w:tr>
      <w:tr w:rsidR="00535D32" w:rsidRPr="009201B2" w14:paraId="7FFE58C1"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C56A6" w14:textId="77777777" w:rsidR="00A77B3E" w:rsidRPr="009201B2" w:rsidRDefault="00003C2A">
            <w:pPr>
              <w:spacing w:before="100"/>
              <w:rPr>
                <w:color w:val="000000"/>
                <w:sz w:val="20"/>
                <w:lang w:val="lt-LT"/>
              </w:rPr>
            </w:pPr>
            <w:r w:rsidRPr="009201B2">
              <w:rPr>
                <w:color w:val="000000"/>
                <w:sz w:val="20"/>
                <w:lang w:val="lt-LT"/>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502B6" w14:textId="77777777" w:rsidR="00A77B3E" w:rsidRPr="009201B2" w:rsidRDefault="00003C2A">
            <w:pPr>
              <w:spacing w:before="100"/>
              <w:rPr>
                <w:color w:val="000000"/>
                <w:sz w:val="20"/>
                <w:lang w:val="lt-LT"/>
              </w:rPr>
            </w:pPr>
            <w:r w:rsidRPr="009201B2">
              <w:rPr>
                <w:color w:val="000000"/>
                <w:sz w:val="20"/>
                <w:lang w:val="lt-LT"/>
              </w:rPr>
              <w:t xml:space="preserve">Administracinių vienetų, kurie sukūrė ir (arba) pritaikė esamus bendradarbiavimo su kitomis valstybėmis </w:t>
            </w:r>
            <w:r w:rsidRPr="009201B2">
              <w:rPr>
                <w:color w:val="000000"/>
                <w:sz w:val="20"/>
                <w:lang w:val="lt-LT"/>
              </w:rPr>
              <w:lastRenderedPageBreak/>
              <w:t xml:space="preserve">narėmis / ES agentūromis / tarptautinėmis organizacijomis / trečiosiomis šalimis mechanizmus / procedūras / priemones / gaires,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5C2E2" w14:textId="77777777" w:rsidR="00A77B3E" w:rsidRPr="009201B2" w:rsidRDefault="00003C2A">
            <w:pPr>
              <w:spacing w:before="100"/>
              <w:rPr>
                <w:color w:val="000000"/>
                <w:sz w:val="20"/>
                <w:lang w:val="lt-LT"/>
              </w:rPr>
            </w:pPr>
            <w:r w:rsidRPr="009201B2">
              <w:rPr>
                <w:color w:val="000000"/>
                <w:sz w:val="20"/>
                <w:lang w:val="lt-LT"/>
              </w:rPr>
              <w:lastRenderedPageBreak/>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20581"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A28E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6703"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C94F0" w14:textId="77777777" w:rsidR="00A77B3E" w:rsidRPr="009201B2" w:rsidRDefault="00003C2A">
            <w:pPr>
              <w:spacing w:before="100"/>
              <w:jc w:val="center"/>
              <w:rPr>
                <w:color w:val="000000"/>
                <w:sz w:val="20"/>
                <w:lang w:val="lt-LT"/>
              </w:rPr>
            </w:pPr>
            <w:r w:rsidRPr="009201B2">
              <w:rPr>
                <w:color w:val="000000"/>
                <w:sz w:val="20"/>
                <w:lang w:val="lt-LT"/>
              </w:rPr>
              <w:t>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A9387"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A81CD" w14:textId="77777777" w:rsidR="00A77B3E" w:rsidRPr="009201B2" w:rsidRDefault="00003C2A">
            <w:pPr>
              <w:spacing w:before="100"/>
              <w:rPr>
                <w:color w:val="000000"/>
                <w:sz w:val="20"/>
                <w:lang w:val="lt-LT"/>
              </w:rPr>
            </w:pPr>
            <w:r w:rsidRPr="009201B2">
              <w:rPr>
                <w:color w:val="000000"/>
                <w:sz w:val="20"/>
                <w:lang w:val="lt-LT"/>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2748F" w14:textId="77777777" w:rsidR="00A77B3E" w:rsidRPr="009201B2" w:rsidRDefault="00A77B3E">
            <w:pPr>
              <w:spacing w:before="100"/>
              <w:rPr>
                <w:color w:val="000000"/>
                <w:sz w:val="20"/>
                <w:lang w:val="lt-LT"/>
              </w:rPr>
            </w:pPr>
          </w:p>
        </w:tc>
      </w:tr>
      <w:tr w:rsidR="00535D32" w:rsidRPr="009201B2" w14:paraId="4BC26E5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FD6E7" w14:textId="1DDA4BD2" w:rsidR="00A77B3E" w:rsidRPr="009201B2" w:rsidRDefault="00003C2A">
            <w:pPr>
              <w:spacing w:before="100"/>
              <w:rPr>
                <w:color w:val="000000"/>
                <w:sz w:val="20"/>
                <w:lang w:val="lt-LT"/>
              </w:rPr>
            </w:pPr>
            <w:r w:rsidRPr="009201B2">
              <w:rPr>
                <w:color w:val="000000"/>
                <w:sz w:val="20"/>
                <w:lang w:val="lt-LT"/>
              </w:rPr>
              <w:lastRenderedPageBreak/>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44040" w14:textId="77777777" w:rsidR="00A77B3E" w:rsidRPr="009201B2" w:rsidRDefault="00003C2A">
            <w:pPr>
              <w:spacing w:before="100"/>
              <w:rPr>
                <w:color w:val="000000"/>
                <w:sz w:val="20"/>
                <w:lang w:val="lt-LT"/>
              </w:rPr>
            </w:pPr>
            <w:r w:rsidRPr="009201B2">
              <w:rPr>
                <w:color w:val="000000"/>
                <w:sz w:val="20"/>
                <w:lang w:val="lt-LT"/>
              </w:rPr>
              <w:t xml:space="preserve">Tarpvalstybinėse operacijose dalyvaujančių darbuotojų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1930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2E4E3" w14:textId="77777777" w:rsidR="00A77B3E" w:rsidRPr="009201B2" w:rsidRDefault="00003C2A">
            <w:pPr>
              <w:spacing w:before="100"/>
              <w:rPr>
                <w:color w:val="000000"/>
                <w:sz w:val="20"/>
                <w:lang w:val="lt-LT"/>
              </w:rPr>
            </w:pPr>
            <w:r w:rsidRPr="009201B2">
              <w:rPr>
                <w:color w:val="000000"/>
                <w:sz w:val="20"/>
                <w:lang w:val="lt-LT"/>
              </w:rPr>
              <w:t>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3B4C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B07BE"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4C896" w14:textId="77777777" w:rsidR="00A77B3E" w:rsidRPr="009201B2" w:rsidRDefault="00003C2A">
            <w:pPr>
              <w:spacing w:before="100"/>
              <w:jc w:val="center"/>
              <w:rPr>
                <w:color w:val="000000"/>
                <w:sz w:val="20"/>
                <w:lang w:val="lt-LT"/>
              </w:rPr>
            </w:pPr>
            <w:r w:rsidRPr="009201B2">
              <w:rPr>
                <w:color w:val="000000"/>
                <w:sz w:val="20"/>
                <w:lang w:val="lt-LT"/>
              </w:rPr>
              <w:t>32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FDDAF"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86F73" w14:textId="77777777" w:rsidR="00A77B3E" w:rsidRPr="009201B2" w:rsidRDefault="00003C2A">
            <w:pPr>
              <w:spacing w:before="100"/>
              <w:rPr>
                <w:color w:val="000000"/>
                <w:sz w:val="20"/>
                <w:lang w:val="lt-LT"/>
              </w:rPr>
            </w:pPr>
            <w:r w:rsidRPr="009201B2">
              <w:rPr>
                <w:color w:val="000000"/>
                <w:sz w:val="20"/>
                <w:lang w:val="lt-LT"/>
              </w:rPr>
              <w:t>project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83F54" w14:textId="77777777" w:rsidR="00A77B3E" w:rsidRPr="009201B2" w:rsidRDefault="00A77B3E">
            <w:pPr>
              <w:spacing w:before="100"/>
              <w:rPr>
                <w:color w:val="000000"/>
                <w:sz w:val="20"/>
                <w:lang w:val="lt-LT"/>
              </w:rPr>
            </w:pPr>
          </w:p>
        </w:tc>
      </w:tr>
      <w:tr w:rsidR="00535D32" w:rsidRPr="009201B2" w14:paraId="20C2308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F6D2B" w14:textId="77777777" w:rsidR="00A77B3E" w:rsidRPr="009201B2" w:rsidRDefault="00003C2A">
            <w:pPr>
              <w:spacing w:before="100"/>
              <w:rPr>
                <w:color w:val="000000"/>
                <w:sz w:val="20"/>
                <w:lang w:val="lt-LT"/>
              </w:rPr>
            </w:pPr>
            <w:r w:rsidRPr="009201B2">
              <w:rPr>
                <w:color w:val="000000"/>
                <w:sz w:val="20"/>
                <w:lang w:val="lt-LT"/>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C16F6" w14:textId="77777777" w:rsidR="00A77B3E" w:rsidRPr="009201B2" w:rsidRDefault="00003C2A">
            <w:pPr>
              <w:spacing w:before="100"/>
              <w:rPr>
                <w:color w:val="000000"/>
                <w:sz w:val="20"/>
                <w:lang w:val="lt-LT"/>
              </w:rPr>
            </w:pPr>
            <w:r w:rsidRPr="009201B2">
              <w:rPr>
                <w:color w:val="000000"/>
                <w:sz w:val="20"/>
                <w:lang w:val="lt-LT"/>
              </w:rPr>
              <w:t xml:space="preserve">Šengeno vertinimo rekomendacijų, į kurias atsižvelgta,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9BD73"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5B5B4"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8747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8A3F0"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61C8E"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262C8" w14:textId="77777777" w:rsidR="00A77B3E" w:rsidRPr="009201B2" w:rsidRDefault="00003C2A">
            <w:pPr>
              <w:spacing w:before="100"/>
              <w:rPr>
                <w:color w:val="000000"/>
                <w:sz w:val="20"/>
                <w:lang w:val="lt-LT"/>
              </w:rPr>
            </w:pPr>
            <w:r w:rsidRPr="009201B2">
              <w:rPr>
                <w:color w:val="000000"/>
                <w:sz w:val="20"/>
                <w:lang w:val="lt-LT"/>
              </w:rPr>
              <w:t>procentinė 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45B69"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3B34B" w14:textId="77777777" w:rsidR="00A77B3E" w:rsidRPr="009201B2" w:rsidRDefault="00A77B3E">
            <w:pPr>
              <w:spacing w:before="100"/>
              <w:rPr>
                <w:color w:val="000000"/>
                <w:sz w:val="20"/>
                <w:lang w:val="lt-LT"/>
              </w:rPr>
            </w:pPr>
          </w:p>
        </w:tc>
      </w:tr>
    </w:tbl>
    <w:p w14:paraId="54CC23D9" w14:textId="77777777" w:rsidR="00A77B3E" w:rsidRPr="009201B2" w:rsidRDefault="00A77B3E">
      <w:pPr>
        <w:spacing w:before="100"/>
        <w:rPr>
          <w:color w:val="000000"/>
          <w:sz w:val="20"/>
          <w:lang w:val="lt-LT"/>
        </w:rPr>
        <w:sectPr w:rsidR="00A77B3E" w:rsidRPr="009201B2">
          <w:headerReference w:type="even" r:id="rId36"/>
          <w:headerReference w:type="default" r:id="rId37"/>
          <w:footerReference w:type="even" r:id="rId38"/>
          <w:footerReference w:type="default" r:id="rId39"/>
          <w:headerReference w:type="first" r:id="rId40"/>
          <w:footerReference w:type="first" r:id="rId41"/>
          <w:pgSz w:w="16838" w:h="11906" w:orient="landscape"/>
          <w:pgMar w:top="720" w:right="720" w:bottom="864" w:left="936" w:header="288" w:footer="72" w:gutter="0"/>
          <w:cols w:space="720"/>
          <w:noEndnote/>
          <w:docGrid w:linePitch="360"/>
        </w:sectPr>
      </w:pPr>
    </w:p>
    <w:p w14:paraId="36882B40" w14:textId="77777777" w:rsidR="00A77B3E" w:rsidRPr="009201B2" w:rsidRDefault="00003C2A">
      <w:pPr>
        <w:spacing w:before="100"/>
        <w:rPr>
          <w:color w:val="000000"/>
          <w:sz w:val="0"/>
          <w:lang w:val="lt-LT"/>
        </w:rPr>
      </w:pPr>
      <w:r w:rsidRPr="009201B2">
        <w:rPr>
          <w:color w:val="000000"/>
          <w:lang w:val="lt-LT"/>
        </w:rPr>
        <w:lastRenderedPageBreak/>
        <w:t>2.1. Konkretus tikslas 2. Tarpvalstybinis bendradarbiavimas</w:t>
      </w:r>
    </w:p>
    <w:p w14:paraId="20F013EA"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14" w:name="_Toc256000071"/>
      <w:r w:rsidRPr="009201B2">
        <w:rPr>
          <w:rFonts w:ascii="Times New Roman" w:hAnsi="Times New Roman" w:cs="Times New Roman"/>
          <w:b w:val="0"/>
          <w:color w:val="000000"/>
          <w:sz w:val="24"/>
          <w:lang w:val="lt-LT"/>
        </w:rPr>
        <w:t>2.1.3. Preliminarus programos išteklių (ES) paskirstymas pagal intervencinių priemonių rūšį</w:t>
      </w:r>
      <w:bookmarkEnd w:id="14"/>
    </w:p>
    <w:p w14:paraId="3538AD6F" w14:textId="77777777" w:rsidR="00A77B3E" w:rsidRPr="009201B2" w:rsidRDefault="00003C2A">
      <w:pPr>
        <w:spacing w:before="100"/>
        <w:rPr>
          <w:color w:val="000000"/>
          <w:lang w:val="lt-LT"/>
        </w:rPr>
      </w:pPr>
      <w:r w:rsidRPr="009201B2">
        <w:rPr>
          <w:color w:val="000000"/>
          <w:lang w:val="lt-LT"/>
        </w:rPr>
        <w:t>Nuoroda: BNR 22 straipsnio 5 dalis ir PMIF reglamento 16 straipsnio 12 dalis, VSF reglamento 13 straipsnio 12 dalis arba SVVP reglamento 13 straipsnio 18 dalis.</w:t>
      </w:r>
    </w:p>
    <w:p w14:paraId="5A62425B" w14:textId="77777777" w:rsidR="00A77B3E" w:rsidRPr="009201B2" w:rsidRDefault="00003C2A">
      <w:pPr>
        <w:pStyle w:val="Antrat4"/>
        <w:spacing w:before="100" w:after="0"/>
        <w:rPr>
          <w:b w:val="0"/>
          <w:color w:val="000000"/>
          <w:sz w:val="24"/>
          <w:lang w:val="lt-LT"/>
        </w:rPr>
      </w:pPr>
      <w:bookmarkStart w:id="15" w:name="_Toc256000072"/>
      <w:r w:rsidRPr="009201B2">
        <w:rPr>
          <w:b w:val="0"/>
          <w:color w:val="000000"/>
          <w:sz w:val="24"/>
          <w:lang w:val="lt-LT"/>
        </w:rPr>
        <w:t>3 lentelė. Preliminarus paskirstymas</w:t>
      </w:r>
      <w:bookmarkEnd w:id="15"/>
    </w:p>
    <w:p w14:paraId="06987E65"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1707"/>
        <w:gridCol w:w="2114"/>
      </w:tblGrid>
      <w:tr w:rsidR="00535D32" w:rsidRPr="009201B2" w14:paraId="51380B5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59A4C" w14:textId="77777777" w:rsidR="00A77B3E" w:rsidRPr="009201B2" w:rsidRDefault="00003C2A">
            <w:pPr>
              <w:spacing w:before="100"/>
              <w:rPr>
                <w:color w:val="000000"/>
                <w:sz w:val="20"/>
                <w:lang w:val="lt-LT"/>
              </w:rPr>
            </w:pPr>
            <w:r w:rsidRPr="009201B2">
              <w:rPr>
                <w:color w:val="000000"/>
                <w:sz w:val="20"/>
                <w:lang w:val="lt-LT"/>
              </w:rPr>
              <w:t>Priemonių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D1286" w14:textId="77777777" w:rsidR="00A77B3E" w:rsidRPr="009201B2" w:rsidRDefault="00003C2A">
            <w:pPr>
              <w:spacing w:before="100"/>
              <w:rPr>
                <w:color w:val="000000"/>
                <w:sz w:val="20"/>
                <w:lang w:val="lt-LT"/>
              </w:rPr>
            </w:pPr>
            <w:r w:rsidRPr="009201B2">
              <w:rPr>
                <w:color w:val="000000"/>
                <w:sz w:val="20"/>
                <w:lang w:val="lt-LT"/>
              </w:rPr>
              <w:t>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925F" w14:textId="77777777" w:rsidR="00A77B3E" w:rsidRPr="009201B2" w:rsidRDefault="00003C2A">
            <w:pPr>
              <w:spacing w:before="100"/>
              <w:jc w:val="right"/>
              <w:rPr>
                <w:color w:val="000000"/>
                <w:sz w:val="20"/>
                <w:lang w:val="lt-LT"/>
              </w:rPr>
            </w:pPr>
            <w:r w:rsidRPr="009201B2">
              <w:rPr>
                <w:color w:val="000000"/>
                <w:sz w:val="20"/>
                <w:lang w:val="lt-LT"/>
              </w:rPr>
              <w:t>Orientacinė suma (eurais)</w:t>
            </w:r>
          </w:p>
        </w:tc>
      </w:tr>
      <w:tr w:rsidR="00535D32" w:rsidRPr="009201B2" w14:paraId="6C823E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91293"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A9427" w14:textId="77777777" w:rsidR="00A77B3E" w:rsidRPr="009201B2" w:rsidRDefault="00003C2A">
            <w:pPr>
              <w:spacing w:before="100"/>
              <w:rPr>
                <w:color w:val="000000"/>
                <w:sz w:val="20"/>
                <w:lang w:val="lt-LT"/>
              </w:rPr>
            </w:pPr>
            <w:r w:rsidRPr="009201B2">
              <w:rPr>
                <w:color w:val="000000"/>
                <w:sz w:val="20"/>
                <w:lang w:val="lt-LT"/>
              </w:rPr>
              <w:t>001.IRT sistemos, sąveikumas, duomenų kokybė (išskyrus įrangą)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274A9" w14:textId="77777777" w:rsidR="00A77B3E" w:rsidRPr="009201B2" w:rsidRDefault="00003C2A">
            <w:pPr>
              <w:spacing w:before="100"/>
              <w:jc w:val="right"/>
              <w:rPr>
                <w:color w:val="000000"/>
                <w:sz w:val="20"/>
                <w:lang w:val="lt-LT"/>
              </w:rPr>
            </w:pPr>
            <w:r w:rsidRPr="009201B2">
              <w:rPr>
                <w:color w:val="000000"/>
                <w:sz w:val="20"/>
                <w:lang w:val="lt-LT"/>
              </w:rPr>
              <w:t>428 899,00</w:t>
            </w:r>
          </w:p>
        </w:tc>
      </w:tr>
      <w:tr w:rsidR="00535D32" w:rsidRPr="009201B2" w14:paraId="13FE62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D3C69"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37611" w14:textId="77777777" w:rsidR="00A77B3E" w:rsidRPr="009201B2" w:rsidRDefault="00003C2A">
            <w:pPr>
              <w:spacing w:before="100"/>
              <w:rPr>
                <w:color w:val="000000"/>
                <w:sz w:val="20"/>
                <w:lang w:val="lt-LT"/>
              </w:rPr>
            </w:pPr>
            <w:r w:rsidRPr="009201B2">
              <w:rPr>
                <w:color w:val="000000"/>
                <w:sz w:val="20"/>
                <w:lang w:val="lt-LT"/>
              </w:rPr>
              <w:t>002.Tinklai, kompetencijos centrai, bendradarbiavimo struktūros, bendri veiksmai ir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52F8F" w14:textId="77777777" w:rsidR="00A77B3E" w:rsidRPr="009201B2" w:rsidRDefault="00003C2A">
            <w:pPr>
              <w:spacing w:before="100"/>
              <w:jc w:val="right"/>
              <w:rPr>
                <w:color w:val="000000"/>
                <w:sz w:val="20"/>
                <w:lang w:val="lt-LT"/>
              </w:rPr>
            </w:pPr>
            <w:r w:rsidRPr="009201B2">
              <w:rPr>
                <w:color w:val="000000"/>
                <w:sz w:val="20"/>
                <w:lang w:val="lt-LT"/>
              </w:rPr>
              <w:t>99 120,69</w:t>
            </w:r>
          </w:p>
        </w:tc>
      </w:tr>
      <w:tr w:rsidR="00535D32" w:rsidRPr="009201B2" w14:paraId="1BD983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2FBDE"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52852" w14:textId="77777777" w:rsidR="00A77B3E" w:rsidRPr="009201B2" w:rsidRDefault="00003C2A">
            <w:pPr>
              <w:spacing w:before="100"/>
              <w:rPr>
                <w:color w:val="000000"/>
                <w:sz w:val="20"/>
                <w:lang w:val="lt-LT"/>
              </w:rPr>
            </w:pPr>
            <w:r w:rsidRPr="009201B2">
              <w:rPr>
                <w:color w:val="000000"/>
                <w:sz w:val="20"/>
                <w:lang w:val="lt-LT"/>
              </w:rPr>
              <w:t>003.Jungtinės tyrimų grupės arba kitos bendros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8C63B" w14:textId="77777777" w:rsidR="00A77B3E" w:rsidRPr="009201B2" w:rsidRDefault="00003C2A">
            <w:pPr>
              <w:spacing w:before="100"/>
              <w:jc w:val="right"/>
              <w:rPr>
                <w:color w:val="000000"/>
                <w:sz w:val="20"/>
                <w:lang w:val="lt-LT"/>
              </w:rPr>
            </w:pPr>
            <w:r w:rsidRPr="009201B2">
              <w:rPr>
                <w:color w:val="000000"/>
                <w:sz w:val="20"/>
                <w:lang w:val="lt-LT"/>
              </w:rPr>
              <w:t>54 000,00</w:t>
            </w:r>
          </w:p>
        </w:tc>
      </w:tr>
      <w:tr w:rsidR="00535D32" w:rsidRPr="009201B2" w14:paraId="661BA2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2C237"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16982" w14:textId="77777777" w:rsidR="00A77B3E" w:rsidRPr="009201B2" w:rsidRDefault="00003C2A">
            <w:pPr>
              <w:spacing w:before="100"/>
              <w:rPr>
                <w:color w:val="000000"/>
                <w:sz w:val="20"/>
                <w:lang w:val="lt-LT"/>
              </w:rPr>
            </w:pPr>
            <w:r w:rsidRPr="009201B2">
              <w:rPr>
                <w:color w:val="000000"/>
                <w:sz w:val="20"/>
                <w:lang w:val="lt-LT"/>
              </w:rPr>
              <w:t>004.Ekspertų komandiravimas arba siuntimas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97C8B"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758558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90FE9"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4390F" w14:textId="77777777" w:rsidR="00A77B3E" w:rsidRPr="009201B2" w:rsidRDefault="00003C2A">
            <w:pPr>
              <w:spacing w:before="100"/>
              <w:rPr>
                <w:color w:val="000000"/>
                <w:sz w:val="20"/>
                <w:lang w:val="lt-LT"/>
              </w:rPr>
            </w:pPr>
            <w:r w:rsidRPr="009201B2">
              <w:rPr>
                <w:color w:val="000000"/>
                <w:sz w:val="20"/>
                <w:lang w:val="lt-LT"/>
              </w:rPr>
              <w:t>005.Mokymas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DBF02" w14:textId="77777777" w:rsidR="00A77B3E" w:rsidRPr="009201B2" w:rsidRDefault="00003C2A">
            <w:pPr>
              <w:spacing w:before="100"/>
              <w:jc w:val="right"/>
              <w:rPr>
                <w:color w:val="000000"/>
                <w:sz w:val="20"/>
                <w:lang w:val="lt-LT"/>
              </w:rPr>
            </w:pPr>
            <w:r w:rsidRPr="009201B2">
              <w:rPr>
                <w:color w:val="000000"/>
                <w:sz w:val="20"/>
                <w:lang w:val="lt-LT"/>
              </w:rPr>
              <w:t>219 959,82</w:t>
            </w:r>
          </w:p>
        </w:tc>
      </w:tr>
      <w:tr w:rsidR="00535D32" w:rsidRPr="009201B2" w14:paraId="7FD760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1C548"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A29C2" w14:textId="77777777" w:rsidR="00A77B3E" w:rsidRPr="009201B2" w:rsidRDefault="00003C2A">
            <w:pPr>
              <w:spacing w:before="100"/>
              <w:rPr>
                <w:color w:val="000000"/>
                <w:sz w:val="20"/>
                <w:lang w:val="lt-LT"/>
              </w:rPr>
            </w:pPr>
            <w:r w:rsidRPr="009201B2">
              <w:rPr>
                <w:color w:val="000000"/>
                <w:sz w:val="20"/>
                <w:lang w:val="lt-LT"/>
              </w:rPr>
              <w:t>006.Keitimasis geriausios praktikos pavyzdžiais, praktiniai seminarai, konferencijos, renginiai, informuotumo didinimo kampanijos, komunikacijos veikla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0BFB5" w14:textId="77777777" w:rsidR="00A77B3E" w:rsidRPr="009201B2" w:rsidRDefault="00003C2A">
            <w:pPr>
              <w:spacing w:before="100"/>
              <w:jc w:val="right"/>
              <w:rPr>
                <w:color w:val="000000"/>
                <w:sz w:val="20"/>
                <w:lang w:val="lt-LT"/>
              </w:rPr>
            </w:pPr>
            <w:r w:rsidRPr="009201B2">
              <w:rPr>
                <w:color w:val="000000"/>
                <w:sz w:val="20"/>
                <w:lang w:val="lt-LT"/>
              </w:rPr>
              <w:t>37 500,00</w:t>
            </w:r>
          </w:p>
        </w:tc>
      </w:tr>
      <w:tr w:rsidR="00535D32" w:rsidRPr="009201B2" w14:paraId="79A0A1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D7E2B"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DFAAF" w14:textId="77777777" w:rsidR="00A77B3E" w:rsidRPr="009201B2" w:rsidRDefault="00003C2A">
            <w:pPr>
              <w:spacing w:before="100"/>
              <w:rPr>
                <w:color w:val="000000"/>
                <w:sz w:val="20"/>
                <w:lang w:val="lt-LT"/>
              </w:rPr>
            </w:pPr>
            <w:r w:rsidRPr="009201B2">
              <w:rPr>
                <w:color w:val="000000"/>
                <w:sz w:val="20"/>
                <w:lang w:val="lt-LT"/>
              </w:rPr>
              <w:t>007.Tyrimai, bandomieji projektai, rizikos vertinimai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6D4DB"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0C7C6D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A8544"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749DB" w14:textId="77777777" w:rsidR="00A77B3E" w:rsidRPr="009201B2" w:rsidRDefault="00003C2A">
            <w:pPr>
              <w:spacing w:before="100"/>
              <w:rPr>
                <w:color w:val="000000"/>
                <w:sz w:val="20"/>
                <w:lang w:val="lt-LT"/>
              </w:rPr>
            </w:pPr>
            <w:r w:rsidRPr="009201B2">
              <w:rPr>
                <w:color w:val="000000"/>
                <w:sz w:val="20"/>
                <w:lang w:val="lt-LT"/>
              </w:rPr>
              <w:t>008.Įranga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53B0" w14:textId="77777777" w:rsidR="00A77B3E" w:rsidRPr="009201B2" w:rsidRDefault="00003C2A">
            <w:pPr>
              <w:spacing w:before="100"/>
              <w:jc w:val="right"/>
              <w:rPr>
                <w:color w:val="000000"/>
                <w:sz w:val="20"/>
                <w:lang w:val="lt-LT"/>
              </w:rPr>
            </w:pPr>
            <w:r w:rsidRPr="009201B2">
              <w:rPr>
                <w:color w:val="000000"/>
                <w:sz w:val="20"/>
                <w:lang w:val="lt-LT"/>
              </w:rPr>
              <w:t>2 427 868,89</w:t>
            </w:r>
          </w:p>
        </w:tc>
      </w:tr>
      <w:tr w:rsidR="00535D32" w:rsidRPr="009201B2" w14:paraId="0FC373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36D35"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140E0" w14:textId="77777777" w:rsidR="00A77B3E" w:rsidRPr="009201B2" w:rsidRDefault="00003C2A">
            <w:pPr>
              <w:spacing w:before="100"/>
              <w:rPr>
                <w:color w:val="000000"/>
                <w:sz w:val="20"/>
                <w:lang w:val="lt-LT"/>
              </w:rPr>
            </w:pPr>
            <w:r w:rsidRPr="009201B2">
              <w:rPr>
                <w:color w:val="000000"/>
                <w:sz w:val="20"/>
                <w:lang w:val="lt-LT"/>
              </w:rPr>
              <w:t>009.Transporto priemonė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BB2D" w14:textId="77777777" w:rsidR="00A77B3E" w:rsidRPr="009201B2" w:rsidRDefault="00003C2A">
            <w:pPr>
              <w:spacing w:before="100"/>
              <w:jc w:val="right"/>
              <w:rPr>
                <w:color w:val="000000"/>
                <w:sz w:val="20"/>
                <w:lang w:val="lt-LT"/>
              </w:rPr>
            </w:pPr>
            <w:r w:rsidRPr="009201B2">
              <w:rPr>
                <w:color w:val="000000"/>
                <w:sz w:val="20"/>
                <w:lang w:val="lt-LT"/>
              </w:rPr>
              <w:t>565 507,13</w:t>
            </w:r>
          </w:p>
        </w:tc>
      </w:tr>
      <w:tr w:rsidR="00535D32" w:rsidRPr="009201B2" w14:paraId="37F885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3B0C4"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146DC" w14:textId="77777777" w:rsidR="00A77B3E" w:rsidRPr="009201B2" w:rsidRDefault="00003C2A">
            <w:pPr>
              <w:spacing w:before="100"/>
              <w:rPr>
                <w:color w:val="000000"/>
                <w:sz w:val="20"/>
                <w:lang w:val="lt-LT"/>
              </w:rPr>
            </w:pPr>
            <w:r w:rsidRPr="009201B2">
              <w:rPr>
                <w:color w:val="000000"/>
                <w:sz w:val="20"/>
                <w:lang w:val="lt-LT"/>
              </w:rPr>
              <w:t>010.Pastatai ir įrenginiai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86933"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2082B7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95184"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9128A" w14:textId="77777777" w:rsidR="00A77B3E" w:rsidRPr="009201B2" w:rsidRDefault="00003C2A">
            <w:pPr>
              <w:spacing w:before="100"/>
              <w:rPr>
                <w:color w:val="000000"/>
                <w:sz w:val="20"/>
                <w:lang w:val="lt-LT"/>
              </w:rPr>
            </w:pPr>
            <w:r w:rsidRPr="009201B2">
              <w:rPr>
                <w:color w:val="000000"/>
                <w:sz w:val="20"/>
                <w:lang w:val="lt-LT"/>
              </w:rPr>
              <w:t>011.Siuntimas arba kiti tolesni veiksmai, susiję su mokslinių tyrimų projektais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90CF4" w14:textId="77777777" w:rsidR="00A77B3E" w:rsidRPr="009201B2" w:rsidRDefault="00003C2A">
            <w:pPr>
              <w:spacing w:before="100"/>
              <w:jc w:val="right"/>
              <w:rPr>
                <w:color w:val="000000"/>
                <w:sz w:val="20"/>
                <w:lang w:val="lt-LT"/>
              </w:rPr>
            </w:pPr>
            <w:r w:rsidRPr="009201B2">
              <w:rPr>
                <w:color w:val="000000"/>
                <w:sz w:val="20"/>
                <w:lang w:val="lt-LT"/>
              </w:rPr>
              <w:t>0,00</w:t>
            </w:r>
          </w:p>
        </w:tc>
      </w:tr>
    </w:tbl>
    <w:p w14:paraId="51D1C7B4" w14:textId="77777777" w:rsidR="00A77B3E" w:rsidRPr="009201B2" w:rsidRDefault="00A77B3E">
      <w:pPr>
        <w:spacing w:before="100"/>
        <w:rPr>
          <w:color w:val="000000"/>
          <w:sz w:val="20"/>
          <w:lang w:val="lt-LT"/>
        </w:rPr>
        <w:sectPr w:rsidR="00A77B3E" w:rsidRPr="009201B2">
          <w:pgSz w:w="16838" w:h="11906" w:orient="landscape"/>
          <w:pgMar w:top="720" w:right="720" w:bottom="864" w:left="936" w:header="288" w:footer="72" w:gutter="0"/>
          <w:cols w:space="720"/>
          <w:noEndnote/>
          <w:docGrid w:linePitch="360"/>
        </w:sectPr>
      </w:pPr>
    </w:p>
    <w:p w14:paraId="77E71FE0"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16" w:name="_Toc256000073"/>
      <w:r w:rsidRPr="009201B2">
        <w:rPr>
          <w:rFonts w:ascii="Times New Roman" w:hAnsi="Times New Roman" w:cs="Times New Roman"/>
          <w:b w:val="0"/>
          <w:i w:val="0"/>
          <w:color w:val="000000"/>
          <w:sz w:val="24"/>
          <w:lang w:val="lt-LT"/>
        </w:rPr>
        <w:lastRenderedPageBreak/>
        <w:t>2.1. Konkretus tikslas: 3. Nusikalstamumo prevencija ir kova su juo</w:t>
      </w:r>
      <w:bookmarkEnd w:id="16"/>
    </w:p>
    <w:p w14:paraId="78BECC42" w14:textId="77777777" w:rsidR="00A77B3E" w:rsidRPr="009201B2" w:rsidRDefault="00A77B3E">
      <w:pPr>
        <w:spacing w:before="100"/>
        <w:rPr>
          <w:color w:val="000000"/>
          <w:sz w:val="0"/>
          <w:lang w:val="lt-LT"/>
        </w:rPr>
      </w:pPr>
    </w:p>
    <w:p w14:paraId="4AAEF1CB"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17" w:name="_Toc256000074"/>
      <w:r w:rsidRPr="009201B2">
        <w:rPr>
          <w:rFonts w:ascii="Times New Roman" w:hAnsi="Times New Roman" w:cs="Times New Roman"/>
          <w:b w:val="0"/>
          <w:color w:val="000000"/>
          <w:sz w:val="24"/>
          <w:lang w:val="lt-LT"/>
        </w:rPr>
        <w:t>2.1.1. Konkretaus tikslo aprašymas</w:t>
      </w:r>
      <w:bookmarkEnd w:id="17"/>
    </w:p>
    <w:p w14:paraId="347ECF4A"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7F5D2D" w14:paraId="593952B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31BDA" w14:textId="77777777" w:rsidR="00A77B3E" w:rsidRPr="009201B2" w:rsidRDefault="00A77B3E">
            <w:pPr>
              <w:spacing w:before="100"/>
              <w:rPr>
                <w:color w:val="000000"/>
                <w:sz w:val="0"/>
                <w:lang w:val="lt-LT"/>
              </w:rPr>
            </w:pPr>
          </w:p>
          <w:p w14:paraId="46B06F75" w14:textId="40D421FB" w:rsidR="00A77B3E" w:rsidRPr="009201B2" w:rsidRDefault="00003C2A">
            <w:pPr>
              <w:spacing w:before="100"/>
              <w:rPr>
                <w:color w:val="000000"/>
                <w:lang w:val="lt-LT"/>
              </w:rPr>
            </w:pPr>
            <w:r w:rsidRPr="009201B2">
              <w:rPr>
                <w:b/>
                <w:bCs/>
                <w:i/>
                <w:iCs/>
                <w:color w:val="000000"/>
                <w:lang w:val="lt-LT"/>
              </w:rPr>
              <w:t>F</w:t>
            </w:r>
            <w:r w:rsidR="008F0E72" w:rsidRPr="008F0E72">
              <w:rPr>
                <w:b/>
                <w:bCs/>
                <w:i/>
                <w:iCs/>
                <w:color w:val="000000"/>
                <w:lang w:val="lt-LT"/>
              </w:rPr>
              <w:t>inansiniai prioritetai, kuriuos LT įgyvendins, kad būtų pasiekt</w:t>
            </w:r>
            <w:r w:rsidR="008F0E72">
              <w:rPr>
                <w:b/>
                <w:bCs/>
                <w:i/>
                <w:iCs/>
                <w:color w:val="000000"/>
                <w:lang w:val="lt-LT"/>
              </w:rPr>
              <w:t>as KT</w:t>
            </w:r>
            <w:r w:rsidR="00BE352F">
              <w:rPr>
                <w:b/>
                <w:bCs/>
                <w:i/>
                <w:iCs/>
                <w:color w:val="000000"/>
                <w:lang w:val="lt-LT"/>
              </w:rPr>
              <w:t>3</w:t>
            </w:r>
            <w:r w:rsidRPr="009201B2">
              <w:rPr>
                <w:b/>
                <w:bCs/>
                <w:i/>
                <w:iCs/>
                <w:color w:val="000000"/>
                <w:lang w:val="lt-LT"/>
              </w:rPr>
              <w:t>:</w:t>
            </w:r>
          </w:p>
          <w:p w14:paraId="79B0BFAE" w14:textId="77777777" w:rsidR="00A77B3E" w:rsidRPr="009201B2" w:rsidRDefault="00A77B3E">
            <w:pPr>
              <w:spacing w:before="100"/>
              <w:rPr>
                <w:color w:val="000000"/>
                <w:lang w:val="lt-LT"/>
              </w:rPr>
            </w:pPr>
          </w:p>
          <w:p w14:paraId="0CB670CC" w14:textId="17888A78" w:rsidR="00A77B3E" w:rsidRPr="009201B2" w:rsidRDefault="008F0E72">
            <w:pPr>
              <w:spacing w:before="100"/>
              <w:rPr>
                <w:color w:val="000000"/>
                <w:lang w:val="lt-LT"/>
              </w:rPr>
            </w:pPr>
            <w:r w:rsidRPr="008F0E72">
              <w:rPr>
                <w:b/>
                <w:bCs/>
                <w:i/>
                <w:iCs/>
                <w:color w:val="000000"/>
                <w:lang w:val="lt-LT"/>
              </w:rPr>
              <w:t>Teisėsaugos institucijų bendradarbiavimas / mokymas</w:t>
            </w:r>
          </w:p>
          <w:p w14:paraId="4E11FBE1" w14:textId="664C5A30" w:rsidR="00A77B3E" w:rsidRPr="009201B2" w:rsidRDefault="002A5240" w:rsidP="004A5EA0">
            <w:pPr>
              <w:spacing w:before="100"/>
              <w:jc w:val="both"/>
              <w:rPr>
                <w:color w:val="000000"/>
                <w:lang w:val="lt-LT"/>
              </w:rPr>
            </w:pPr>
            <w:r w:rsidRPr="002A5240">
              <w:rPr>
                <w:color w:val="000000"/>
                <w:lang w:val="lt-LT"/>
              </w:rPr>
              <w:t>Vykdant bendradarbiavimo operacijas pasienio regionuose, kai patruliuojama, persekiojama ir sekama, policijai trūksta pajėgumų</w:t>
            </w:r>
            <w:r w:rsidR="00003C2A" w:rsidRPr="009201B2">
              <w:rPr>
                <w:color w:val="000000"/>
                <w:lang w:val="lt-LT"/>
              </w:rPr>
              <w:t>.</w:t>
            </w:r>
          </w:p>
          <w:p w14:paraId="22F8C24E" w14:textId="77777777" w:rsidR="00A77B3E" w:rsidRPr="009201B2" w:rsidRDefault="00A77B3E" w:rsidP="004A5EA0">
            <w:pPr>
              <w:spacing w:before="100"/>
              <w:jc w:val="both"/>
              <w:rPr>
                <w:color w:val="000000"/>
                <w:lang w:val="lt-LT"/>
              </w:rPr>
            </w:pPr>
          </w:p>
          <w:p w14:paraId="3C42DC77" w14:textId="73319BA6" w:rsidR="00A77B3E" w:rsidRPr="009201B2" w:rsidRDefault="00E870C2" w:rsidP="004A5EA0">
            <w:pPr>
              <w:spacing w:before="100"/>
              <w:jc w:val="both"/>
              <w:rPr>
                <w:color w:val="000000"/>
                <w:lang w:val="lt-LT"/>
              </w:rPr>
            </w:pPr>
            <w:r w:rsidRPr="00E870C2">
              <w:rPr>
                <w:color w:val="000000"/>
                <w:lang w:val="lt-LT"/>
              </w:rPr>
              <w:t>Būtina tobulinti ir atnaujinti teorines žinias ir praktinius įgūdžius, būtinus veiksmingai kovai su nusikalstamumu ir kitais teisės pažeidimais bei sienų kontrolei, įskaitant bendras operacijas, užtikrinti, taip pat mokyti pareigūnus dirbti su naujomis technologijomis ir standartais.</w:t>
            </w:r>
            <w:r>
              <w:rPr>
                <w:color w:val="000000"/>
                <w:lang w:val="lt-LT"/>
              </w:rPr>
              <w:t xml:space="preserve"> </w:t>
            </w:r>
          </w:p>
          <w:p w14:paraId="6C10888F" w14:textId="77777777" w:rsidR="00A77B3E" w:rsidRPr="009201B2" w:rsidRDefault="00A77B3E" w:rsidP="004A5EA0">
            <w:pPr>
              <w:spacing w:before="100"/>
              <w:jc w:val="both"/>
              <w:rPr>
                <w:color w:val="000000"/>
                <w:lang w:val="lt-LT"/>
              </w:rPr>
            </w:pPr>
          </w:p>
          <w:p w14:paraId="5153D327" w14:textId="3F26B665" w:rsidR="00A77B3E" w:rsidRPr="009201B2" w:rsidRDefault="00003C2A" w:rsidP="004A5EA0">
            <w:pPr>
              <w:spacing w:before="100"/>
              <w:jc w:val="both"/>
              <w:rPr>
                <w:color w:val="000000"/>
                <w:lang w:val="lt-LT"/>
              </w:rPr>
            </w:pPr>
            <w:r w:rsidRPr="009201B2">
              <w:rPr>
                <w:color w:val="000000"/>
                <w:lang w:val="lt-LT"/>
              </w:rPr>
              <w:t xml:space="preserve">PD </w:t>
            </w:r>
            <w:r w:rsidR="00886240" w:rsidRPr="00886240">
              <w:rPr>
                <w:color w:val="000000"/>
                <w:lang w:val="lt-LT"/>
              </w:rPr>
              <w:t>ištiria apie 96 proc. visų šalyje įvykdytų nusikalstamų veikų. Kadangi nusikaltimo vietos apžiūra ir įrodymų tyrimas yra labai svarbūs sėkmingam tyrimui, būtina nuolat tobulinti įsipareigojim</w:t>
            </w:r>
            <w:r w:rsidR="00C11613">
              <w:rPr>
                <w:color w:val="000000"/>
                <w:lang w:val="lt-LT"/>
              </w:rPr>
              <w:t>ų</w:t>
            </w:r>
            <w:r w:rsidR="00886240" w:rsidRPr="00886240">
              <w:rPr>
                <w:color w:val="000000"/>
                <w:lang w:val="lt-LT"/>
              </w:rPr>
              <w:t xml:space="preserve"> metodus, būdus ir priemones. Todėl, siekiant veiksmingai ir greitai ištirti visas bylas, būtina kelti nusikaltimų tyrimus atliekančių pareigūnų kvalifikaciją</w:t>
            </w:r>
            <w:r w:rsidRPr="009201B2">
              <w:rPr>
                <w:color w:val="000000"/>
                <w:lang w:val="lt-LT"/>
              </w:rPr>
              <w:t>.</w:t>
            </w:r>
          </w:p>
          <w:p w14:paraId="17D86D17" w14:textId="77777777" w:rsidR="00A77B3E" w:rsidRPr="009201B2" w:rsidRDefault="00A77B3E" w:rsidP="004A5EA0">
            <w:pPr>
              <w:spacing w:before="100"/>
              <w:jc w:val="both"/>
              <w:rPr>
                <w:color w:val="000000"/>
                <w:lang w:val="lt-LT"/>
              </w:rPr>
            </w:pPr>
          </w:p>
          <w:p w14:paraId="23780458" w14:textId="77777777" w:rsidR="00C11613" w:rsidRPr="00C11613" w:rsidRDefault="00C11613" w:rsidP="004A5EA0">
            <w:pPr>
              <w:spacing w:before="100"/>
              <w:jc w:val="both"/>
              <w:rPr>
                <w:color w:val="000000"/>
                <w:lang w:val="lt-LT"/>
              </w:rPr>
            </w:pPr>
            <w:r w:rsidRPr="00C11613">
              <w:rPr>
                <w:color w:val="000000"/>
                <w:lang w:val="lt-LT"/>
              </w:rPr>
              <w:t>Dabartiniame policijos pareigūnų profesiniame mokyme trūksta praktinės patirties dirbant su policijos IT sistemomis. Mokymo proceso metu suteikiama tik dalinė naudojimosi policijos informacinėmis sistemomis, valstybės ir žinybiniais registrais kompetencija, nes sistemos ir registrai neturi mokymo tikslams pritaikytų mokymo modulių, todėl neįgyjami reikalingi įgūdžiai.</w:t>
            </w:r>
          </w:p>
          <w:p w14:paraId="2C9DC425" w14:textId="398703C0" w:rsidR="00A77B3E" w:rsidRPr="009201B2" w:rsidRDefault="00C11613" w:rsidP="004A5EA0">
            <w:pPr>
              <w:spacing w:before="100"/>
              <w:jc w:val="both"/>
              <w:rPr>
                <w:color w:val="000000"/>
                <w:lang w:val="lt-LT"/>
              </w:rPr>
            </w:pPr>
            <w:r w:rsidRPr="00C11613">
              <w:rPr>
                <w:color w:val="000000"/>
                <w:lang w:val="lt-LT"/>
              </w:rPr>
              <w:t>Nemaži asignavimai nustatyti specializuotai įrangai, naudojamai mokymo ir operatyviniais tikslais. Pažangi IT ir kita specializuota įranga atitinka kriminalinės žvalgybos operatyvinius reikalavimus (pvz.</w:t>
            </w:r>
            <w:r w:rsidR="00CC7509">
              <w:rPr>
                <w:color w:val="000000"/>
                <w:lang w:val="lt-LT"/>
              </w:rPr>
              <w:t>,</w:t>
            </w:r>
            <w:r w:rsidRPr="00C11613">
              <w:rPr>
                <w:color w:val="000000"/>
                <w:lang w:val="lt-LT"/>
              </w:rPr>
              <w:t xml:space="preserve"> nusikaltimų elektroninėje erdvėje tyrimas, e. įrodymų rinkimas, įtariamųjų naudojamų kovos priemonių įveikimas ir t. t.) ir bus panaudota</w:t>
            </w:r>
            <w:r>
              <w:rPr>
                <w:color w:val="000000"/>
                <w:lang w:val="lt-LT"/>
              </w:rPr>
              <w:t>, siekiant</w:t>
            </w:r>
            <w:r w:rsidRPr="00C11613">
              <w:rPr>
                <w:color w:val="000000"/>
                <w:lang w:val="lt-LT"/>
              </w:rPr>
              <w:t xml:space="preserve"> apmokyti pakankamą pareigūnų skaiči</w:t>
            </w:r>
            <w:r>
              <w:rPr>
                <w:color w:val="000000"/>
                <w:lang w:val="lt-LT"/>
              </w:rPr>
              <w:t>ų</w:t>
            </w:r>
            <w:r w:rsidR="00003C2A" w:rsidRPr="009201B2">
              <w:rPr>
                <w:color w:val="000000"/>
                <w:lang w:val="lt-LT"/>
              </w:rPr>
              <w:t>.</w:t>
            </w:r>
          </w:p>
          <w:p w14:paraId="3B7A7EFB" w14:textId="77777777" w:rsidR="00A77B3E" w:rsidRPr="009201B2" w:rsidRDefault="00A77B3E" w:rsidP="004A5EA0">
            <w:pPr>
              <w:spacing w:before="100"/>
              <w:jc w:val="both"/>
              <w:rPr>
                <w:color w:val="000000"/>
                <w:lang w:val="lt-LT"/>
              </w:rPr>
            </w:pPr>
          </w:p>
          <w:p w14:paraId="65663E38" w14:textId="33D21AA8" w:rsidR="00A77B3E" w:rsidRPr="009201B2" w:rsidRDefault="00C11613">
            <w:pPr>
              <w:spacing w:before="100"/>
              <w:rPr>
                <w:color w:val="000000"/>
                <w:lang w:val="lt-LT"/>
              </w:rPr>
            </w:pPr>
            <w:r w:rsidRPr="00C11613">
              <w:rPr>
                <w:b/>
                <w:bCs/>
                <w:color w:val="000000"/>
                <w:lang w:val="lt-LT"/>
              </w:rPr>
              <w:t xml:space="preserve">Siūlomi minėtų problemų sprendimai, kurie bus </w:t>
            </w:r>
            <w:r w:rsidR="006C5C94">
              <w:rPr>
                <w:b/>
                <w:bCs/>
                <w:color w:val="000000"/>
                <w:lang w:val="lt-LT"/>
              </w:rPr>
              <w:t>įgyvendinami</w:t>
            </w:r>
            <w:r w:rsidRPr="00C11613">
              <w:rPr>
                <w:b/>
                <w:bCs/>
                <w:color w:val="000000"/>
                <w:lang w:val="lt-LT"/>
              </w:rPr>
              <w:t xml:space="preserve"> </w:t>
            </w:r>
            <w:r>
              <w:rPr>
                <w:b/>
                <w:bCs/>
                <w:color w:val="000000"/>
                <w:lang w:val="lt-LT"/>
              </w:rPr>
              <w:t>V</w:t>
            </w:r>
            <w:r w:rsidRPr="00C11613">
              <w:rPr>
                <w:b/>
                <w:bCs/>
                <w:color w:val="000000"/>
                <w:lang w:val="lt-LT"/>
              </w:rPr>
              <w:t>SF lėšomis</w:t>
            </w:r>
            <w:r w:rsidR="00003C2A" w:rsidRPr="009201B2">
              <w:rPr>
                <w:b/>
                <w:bCs/>
                <w:color w:val="000000"/>
                <w:lang w:val="lt-LT"/>
              </w:rPr>
              <w:t>:</w:t>
            </w:r>
          </w:p>
          <w:p w14:paraId="1E6DDEC9" w14:textId="57DF7D79" w:rsidR="00A77B3E" w:rsidRPr="009201B2" w:rsidRDefault="00003C2A" w:rsidP="004A5EA0">
            <w:pPr>
              <w:spacing w:before="100"/>
              <w:jc w:val="both"/>
              <w:rPr>
                <w:color w:val="000000"/>
                <w:lang w:val="lt-LT"/>
              </w:rPr>
            </w:pPr>
            <w:r w:rsidRPr="009201B2">
              <w:rPr>
                <w:color w:val="000000"/>
                <w:lang w:val="lt-LT"/>
              </w:rPr>
              <w:t xml:space="preserve">- </w:t>
            </w:r>
            <w:r w:rsidR="00C11613">
              <w:rPr>
                <w:color w:val="000000"/>
                <w:lang w:val="lt-LT"/>
              </w:rPr>
              <w:t>i</w:t>
            </w:r>
            <w:r w:rsidR="00C11613" w:rsidRPr="00C11613">
              <w:rPr>
                <w:color w:val="000000"/>
                <w:lang w:val="lt-LT"/>
              </w:rPr>
              <w:t xml:space="preserve">nformacijos apdorojimo, analizės gebėjimų ir keitimosi </w:t>
            </w:r>
            <w:r w:rsidR="00C11613">
              <w:rPr>
                <w:color w:val="000000"/>
                <w:lang w:val="lt-LT"/>
              </w:rPr>
              <w:t xml:space="preserve">informacija </w:t>
            </w:r>
            <w:r w:rsidR="00C11613" w:rsidRPr="00C11613">
              <w:rPr>
                <w:color w:val="000000"/>
                <w:lang w:val="lt-LT"/>
              </w:rPr>
              <w:t>įgūdži</w:t>
            </w:r>
            <w:r w:rsidR="00C11613">
              <w:rPr>
                <w:color w:val="000000"/>
                <w:lang w:val="lt-LT"/>
              </w:rPr>
              <w:t xml:space="preserve">ų </w:t>
            </w:r>
            <w:r w:rsidR="00C11613" w:rsidRPr="00C11613">
              <w:rPr>
                <w:color w:val="000000"/>
                <w:lang w:val="lt-LT"/>
              </w:rPr>
              <w:t>stiprinimas</w:t>
            </w:r>
            <w:r w:rsidRPr="009201B2">
              <w:rPr>
                <w:color w:val="000000"/>
                <w:lang w:val="lt-LT"/>
              </w:rPr>
              <w:t>;</w:t>
            </w:r>
          </w:p>
          <w:p w14:paraId="780882D5" w14:textId="1103CCAE" w:rsidR="00A77B3E" w:rsidRPr="009201B2" w:rsidRDefault="00003C2A" w:rsidP="004A5EA0">
            <w:pPr>
              <w:spacing w:before="100"/>
              <w:jc w:val="both"/>
              <w:rPr>
                <w:color w:val="000000"/>
                <w:lang w:val="lt-LT"/>
              </w:rPr>
            </w:pPr>
            <w:r w:rsidRPr="009201B2">
              <w:rPr>
                <w:color w:val="000000"/>
                <w:lang w:val="lt-LT"/>
              </w:rPr>
              <w:t xml:space="preserve">- </w:t>
            </w:r>
            <w:r w:rsidR="00C11613">
              <w:rPr>
                <w:color w:val="000000"/>
                <w:lang w:val="lt-LT"/>
              </w:rPr>
              <w:t>p</w:t>
            </w:r>
            <w:r w:rsidR="00C11613" w:rsidRPr="00C11613">
              <w:rPr>
                <w:color w:val="000000"/>
                <w:lang w:val="lt-LT"/>
              </w:rPr>
              <w:t>olicijos pareigūnų gebėjim</w:t>
            </w:r>
            <w:r w:rsidR="00C11613">
              <w:rPr>
                <w:color w:val="000000"/>
                <w:lang w:val="lt-LT"/>
              </w:rPr>
              <w:t>ų stiprinimas</w:t>
            </w:r>
            <w:r w:rsidR="00C11613" w:rsidRPr="00C11613">
              <w:rPr>
                <w:color w:val="000000"/>
                <w:lang w:val="lt-LT"/>
              </w:rPr>
              <w:t xml:space="preserve"> tarptautinio bendradarbiavimo srityje, ypatingą dėmesį skiriant Šengeno </w:t>
            </w:r>
            <w:r w:rsidR="00C11613" w:rsidRPr="00C11613">
              <w:rPr>
                <w:i/>
                <w:iCs/>
                <w:color w:val="000000"/>
                <w:lang w:val="lt-LT"/>
              </w:rPr>
              <w:t>acquis</w:t>
            </w:r>
            <w:r w:rsidR="00C11613" w:rsidRPr="00C11613">
              <w:rPr>
                <w:color w:val="000000"/>
                <w:lang w:val="lt-LT"/>
              </w:rPr>
              <w:t xml:space="preserve"> reikalavimų įgyvendinimui, organizuojant pareigūnų stažuotes ir (arba) mainus</w:t>
            </w:r>
            <w:r w:rsidRPr="009201B2">
              <w:rPr>
                <w:color w:val="000000"/>
                <w:lang w:val="lt-LT"/>
              </w:rPr>
              <w:t>.</w:t>
            </w:r>
          </w:p>
          <w:p w14:paraId="79901FF5" w14:textId="77777777" w:rsidR="00A77B3E" w:rsidRPr="009201B2" w:rsidRDefault="00A77B3E">
            <w:pPr>
              <w:spacing w:before="100"/>
              <w:rPr>
                <w:color w:val="000000"/>
                <w:lang w:val="lt-LT"/>
              </w:rPr>
            </w:pPr>
          </w:p>
          <w:p w14:paraId="29270080" w14:textId="54084965" w:rsidR="00A77B3E" w:rsidRPr="009201B2" w:rsidRDefault="00C11613">
            <w:pPr>
              <w:spacing w:before="100"/>
              <w:rPr>
                <w:color w:val="000000"/>
                <w:lang w:val="lt-LT"/>
              </w:rPr>
            </w:pPr>
            <w:r>
              <w:rPr>
                <w:b/>
                <w:bCs/>
                <w:i/>
                <w:iCs/>
                <w:color w:val="000000"/>
                <w:lang w:val="lt-LT"/>
              </w:rPr>
              <w:t>Piliečių ir infrastruktūros apsauga</w:t>
            </w:r>
            <w:r w:rsidR="00003C2A" w:rsidRPr="009201B2">
              <w:rPr>
                <w:b/>
                <w:bCs/>
                <w:i/>
                <w:iCs/>
                <w:color w:val="000000"/>
                <w:lang w:val="lt-LT"/>
              </w:rPr>
              <w:t xml:space="preserve"> </w:t>
            </w:r>
          </w:p>
          <w:p w14:paraId="584B0A23" w14:textId="1B03D54E" w:rsidR="00A77B3E" w:rsidRPr="009201B2" w:rsidRDefault="00C11613" w:rsidP="004A5EA0">
            <w:pPr>
              <w:spacing w:before="100"/>
              <w:jc w:val="both"/>
              <w:rPr>
                <w:color w:val="000000"/>
                <w:lang w:val="lt-LT"/>
              </w:rPr>
            </w:pPr>
            <w:r>
              <w:rPr>
                <w:color w:val="000000"/>
                <w:lang w:val="lt-LT"/>
              </w:rPr>
              <w:t xml:space="preserve">Šiuo metu Lietuvos policija neturi priemonių, būtinų </w:t>
            </w:r>
            <w:r w:rsidRPr="00C11613">
              <w:rPr>
                <w:color w:val="000000"/>
                <w:lang w:val="lt-LT"/>
              </w:rPr>
              <w:t>visapusiškai ypatingos svarbos infrastruktūros objektų ir viešųjų erdvių apsaugai, todėl jai reikia naujausių technologinių sprendimų, priemonių, skirtų dalytis informacija tarp šalių ir viešųjų bei privačių saugumo partnerių, taip pat pagerinti pirmosios grandies pareigūnų reagavimo į tokius įvykius greitį ir gebėjimus.</w:t>
            </w:r>
            <w:r w:rsidR="00003C2A" w:rsidRPr="009201B2">
              <w:rPr>
                <w:color w:val="000000"/>
                <w:lang w:val="lt-LT"/>
              </w:rPr>
              <w:t> </w:t>
            </w:r>
          </w:p>
          <w:p w14:paraId="51D0C02C" w14:textId="77777777" w:rsidR="00A77B3E" w:rsidRPr="009201B2" w:rsidRDefault="00A77B3E" w:rsidP="004A5EA0">
            <w:pPr>
              <w:spacing w:before="100"/>
              <w:jc w:val="both"/>
              <w:rPr>
                <w:color w:val="000000"/>
                <w:lang w:val="lt-LT"/>
              </w:rPr>
            </w:pPr>
          </w:p>
          <w:p w14:paraId="5069418F" w14:textId="168CCFEB" w:rsidR="00A77B3E" w:rsidRPr="009201B2" w:rsidRDefault="00C11613" w:rsidP="004A5EA0">
            <w:pPr>
              <w:spacing w:before="100"/>
              <w:jc w:val="both"/>
              <w:rPr>
                <w:color w:val="000000"/>
                <w:lang w:val="lt-LT"/>
              </w:rPr>
            </w:pPr>
            <w:r w:rsidRPr="00C11613">
              <w:rPr>
                <w:color w:val="000000"/>
                <w:lang w:val="lt-LT"/>
              </w:rPr>
              <w:t>2019 m. prevencinėje veikloje dalyvavo 2098 saugios kaimynystės budėtojai, 965 policijos rėmėjai ir 900 jaunųjų policijos rėmėjų. Šiuo metu vykdomos prevencinės priemonės ir iniciatyvos nėra lanksčios ir retai pritraukia jaunosios kartos piliečius.</w:t>
            </w:r>
            <w:r>
              <w:rPr>
                <w:color w:val="000000"/>
                <w:lang w:val="lt-LT"/>
              </w:rPr>
              <w:t xml:space="preserve"> </w:t>
            </w:r>
            <w:r w:rsidRPr="00C11613">
              <w:rPr>
                <w:color w:val="000000"/>
                <w:lang w:val="lt-LT"/>
              </w:rPr>
              <w:t xml:space="preserve">Todėl prevencines iniciatyvas ir programas reikia modernizuoti, įskaitant IT taikomąsias programas ir sprendimus, kurie leistų maksimaliai išnaudoti esamą pilietinės visuomenės potencialą kuriant saugią aplinką, taip prisidedant prie tarpvalstybinių nusikaltimų išaiškinimo ir prevencijos pačiu svarbiausiu </w:t>
            </w:r>
            <w:r w:rsidR="00E168CE">
              <w:rPr>
                <w:color w:val="000000"/>
                <w:lang w:val="lt-LT"/>
              </w:rPr>
              <w:t>–</w:t>
            </w:r>
            <w:r w:rsidRPr="00C11613">
              <w:rPr>
                <w:color w:val="000000"/>
                <w:lang w:val="lt-LT"/>
              </w:rPr>
              <w:t xml:space="preserve"> vietos bendruomenių </w:t>
            </w:r>
            <w:r w:rsidR="00E168CE">
              <w:rPr>
                <w:color w:val="000000"/>
                <w:lang w:val="lt-LT"/>
              </w:rPr>
              <w:t>–</w:t>
            </w:r>
            <w:r w:rsidRPr="00C11613">
              <w:rPr>
                <w:color w:val="000000"/>
                <w:lang w:val="lt-LT"/>
              </w:rPr>
              <w:t xml:space="preserve"> lygmeniu.</w:t>
            </w:r>
            <w:r>
              <w:rPr>
                <w:color w:val="000000"/>
                <w:lang w:val="lt-LT"/>
              </w:rPr>
              <w:t xml:space="preserve"> </w:t>
            </w:r>
            <w:r w:rsidR="00E168CE" w:rsidRPr="00E168CE">
              <w:rPr>
                <w:color w:val="000000"/>
                <w:lang w:val="lt-LT"/>
              </w:rPr>
              <w:t>Šiai veiklai vykdyti reikalinga specializuota saugi</w:t>
            </w:r>
            <w:r w:rsidR="006C5C94">
              <w:rPr>
                <w:color w:val="000000"/>
                <w:lang w:val="lt-LT"/>
              </w:rPr>
              <w:t>,</w:t>
            </w:r>
            <w:r w:rsidR="00E168CE" w:rsidRPr="00E168CE">
              <w:rPr>
                <w:color w:val="000000"/>
                <w:lang w:val="lt-LT"/>
              </w:rPr>
              <w:t xml:space="preserve"> šiuolaikinius poreikius</w:t>
            </w:r>
            <w:r w:rsidR="006C5C94">
              <w:rPr>
                <w:color w:val="000000"/>
                <w:lang w:val="lt-LT"/>
              </w:rPr>
              <w:t xml:space="preserve"> </w:t>
            </w:r>
            <w:r w:rsidR="006C5C94" w:rsidRPr="00E168CE">
              <w:rPr>
                <w:color w:val="000000"/>
                <w:lang w:val="lt-LT"/>
              </w:rPr>
              <w:t>atitinkanti IT įranga</w:t>
            </w:r>
            <w:r w:rsidR="00E168CE" w:rsidRPr="00E168CE">
              <w:rPr>
                <w:color w:val="000000"/>
                <w:lang w:val="lt-LT"/>
              </w:rPr>
              <w:t>.</w:t>
            </w:r>
            <w:r w:rsidR="00003C2A" w:rsidRPr="009201B2">
              <w:rPr>
                <w:color w:val="000000"/>
                <w:lang w:val="lt-LT"/>
              </w:rPr>
              <w:t xml:space="preserve"> </w:t>
            </w:r>
          </w:p>
          <w:p w14:paraId="7104E22A" w14:textId="77777777" w:rsidR="00A77B3E" w:rsidRPr="009201B2" w:rsidRDefault="00A77B3E" w:rsidP="004A5EA0">
            <w:pPr>
              <w:spacing w:before="100"/>
              <w:jc w:val="both"/>
              <w:rPr>
                <w:color w:val="000000"/>
                <w:lang w:val="lt-LT"/>
              </w:rPr>
            </w:pPr>
          </w:p>
          <w:p w14:paraId="63654F94" w14:textId="7AB061B0" w:rsidR="00A77B3E" w:rsidRPr="009201B2" w:rsidRDefault="00E168CE" w:rsidP="004A5EA0">
            <w:pPr>
              <w:spacing w:before="100"/>
              <w:jc w:val="both"/>
              <w:rPr>
                <w:color w:val="000000"/>
                <w:lang w:val="lt-LT"/>
              </w:rPr>
            </w:pPr>
            <w:r w:rsidRPr="00E168CE">
              <w:rPr>
                <w:color w:val="000000"/>
                <w:lang w:val="lt-LT"/>
              </w:rPr>
              <w:lastRenderedPageBreak/>
              <w:t>Reaguojant į visuomenės saugumo iššūkius, susijusius su padidėjusi</w:t>
            </w:r>
            <w:r w:rsidR="006C5C94">
              <w:rPr>
                <w:color w:val="000000"/>
                <w:lang w:val="lt-LT"/>
              </w:rPr>
              <w:t>a</w:t>
            </w:r>
            <w:r w:rsidRPr="00E168CE">
              <w:rPr>
                <w:color w:val="000000"/>
                <w:lang w:val="lt-LT"/>
              </w:rPr>
              <w:t xml:space="preserve"> teroristinių išpuolių </w:t>
            </w:r>
            <w:r w:rsidR="006C5C94">
              <w:rPr>
                <w:color w:val="000000"/>
                <w:lang w:val="lt-LT"/>
              </w:rPr>
              <w:t>tikimybe</w:t>
            </w:r>
            <w:r w:rsidRPr="00E168CE">
              <w:rPr>
                <w:color w:val="000000"/>
                <w:lang w:val="lt-LT"/>
              </w:rPr>
              <w:t>, ir įgyvendinant prevencines priemones, būtina nuolat prižiūrėti ir tobulinti specialios paskirties antiteroristinius padalinius.</w:t>
            </w:r>
            <w:r w:rsidR="00003C2A" w:rsidRPr="009201B2">
              <w:rPr>
                <w:color w:val="000000"/>
                <w:lang w:val="lt-LT"/>
              </w:rPr>
              <w:t xml:space="preserve"> 2020</w:t>
            </w:r>
            <w:r>
              <w:rPr>
                <w:color w:val="000000"/>
                <w:lang w:val="lt-LT"/>
              </w:rPr>
              <w:t xml:space="preserve"> m. „</w:t>
            </w:r>
            <w:r w:rsidR="00003C2A" w:rsidRPr="009201B2">
              <w:rPr>
                <w:color w:val="000000"/>
                <w:lang w:val="lt-LT"/>
              </w:rPr>
              <w:t>Aras</w:t>
            </w:r>
            <w:r>
              <w:rPr>
                <w:color w:val="000000"/>
                <w:lang w:val="lt-LT"/>
              </w:rPr>
              <w:t>“</w:t>
            </w:r>
            <w:r w:rsidR="00003C2A" w:rsidRPr="009201B2">
              <w:rPr>
                <w:color w:val="000000"/>
                <w:lang w:val="lt-LT"/>
              </w:rPr>
              <w:t xml:space="preserve"> </w:t>
            </w:r>
            <w:r w:rsidRPr="00E168CE">
              <w:rPr>
                <w:color w:val="000000"/>
                <w:lang w:val="lt-LT"/>
              </w:rPr>
              <w:t>177 kartus atliko sprogmenų paiešką ir neutralizavimą, 148 atvejais buvo rasti ir neutralizuoti sprogmenys</w:t>
            </w:r>
            <w:r>
              <w:rPr>
                <w:color w:val="000000"/>
                <w:lang w:val="lt-LT"/>
              </w:rPr>
              <w:t>. Be to</w:t>
            </w:r>
            <w:r w:rsidRPr="00E168CE">
              <w:rPr>
                <w:color w:val="000000"/>
                <w:lang w:val="lt-LT"/>
              </w:rPr>
              <w:t xml:space="preserve">, </w:t>
            </w:r>
            <w:r>
              <w:rPr>
                <w:color w:val="000000"/>
                <w:lang w:val="lt-LT"/>
              </w:rPr>
              <w:t xml:space="preserve">buvo atliktos </w:t>
            </w:r>
            <w:r w:rsidRPr="00E168CE">
              <w:rPr>
                <w:color w:val="000000"/>
                <w:lang w:val="lt-LT"/>
              </w:rPr>
              <w:t>179 speciali</w:t>
            </w:r>
            <w:r>
              <w:rPr>
                <w:color w:val="000000"/>
                <w:lang w:val="lt-LT"/>
              </w:rPr>
              <w:t>osios</w:t>
            </w:r>
            <w:r w:rsidRPr="00E168CE">
              <w:rPr>
                <w:color w:val="000000"/>
                <w:lang w:val="lt-LT"/>
              </w:rPr>
              <w:t xml:space="preserve"> ginkluotų, pavojingų nusikaltėlių sulaikymo operacij</w:t>
            </w:r>
            <w:r>
              <w:rPr>
                <w:color w:val="000000"/>
                <w:lang w:val="lt-LT"/>
              </w:rPr>
              <w:t>o</w:t>
            </w:r>
            <w:r w:rsidRPr="00E168CE">
              <w:rPr>
                <w:color w:val="000000"/>
                <w:lang w:val="lt-LT"/>
              </w:rPr>
              <w:t>s ir kit</w:t>
            </w:r>
            <w:r>
              <w:rPr>
                <w:color w:val="000000"/>
                <w:lang w:val="lt-LT"/>
              </w:rPr>
              <w:t>o</w:t>
            </w:r>
            <w:r w:rsidRPr="00E168CE">
              <w:rPr>
                <w:color w:val="000000"/>
                <w:lang w:val="lt-LT"/>
              </w:rPr>
              <w:t>s užduot</w:t>
            </w:r>
            <w:r>
              <w:rPr>
                <w:color w:val="000000"/>
                <w:lang w:val="lt-LT"/>
              </w:rPr>
              <w:t>y</w:t>
            </w:r>
            <w:r w:rsidRPr="00E168CE">
              <w:rPr>
                <w:color w:val="000000"/>
                <w:lang w:val="lt-LT"/>
              </w:rPr>
              <w:t xml:space="preserve">s, kurių metu buvo sulaikyti 47 asmenys. Specialiųjų operacijų skaičius nemažėja, todėl būtina stiprinti </w:t>
            </w:r>
            <w:r>
              <w:rPr>
                <w:color w:val="000000"/>
                <w:lang w:val="lt-LT"/>
              </w:rPr>
              <w:t>„</w:t>
            </w:r>
            <w:r w:rsidRPr="00E168CE">
              <w:rPr>
                <w:color w:val="000000"/>
                <w:lang w:val="lt-LT"/>
              </w:rPr>
              <w:t>Ar</w:t>
            </w:r>
            <w:r>
              <w:rPr>
                <w:color w:val="000000"/>
                <w:lang w:val="lt-LT"/>
              </w:rPr>
              <w:t>o“</w:t>
            </w:r>
            <w:r w:rsidRPr="00E168CE">
              <w:rPr>
                <w:color w:val="000000"/>
                <w:lang w:val="lt-LT"/>
              </w:rPr>
              <w:t xml:space="preserve"> pajėgumus ir kelti jų kvalifikaciją. Dėl šių (pirmiau minėtų) poreikių reikia daug investuoti į bombų ir kitų pavojingų medžiagų nukenksminimo įrangą</w:t>
            </w:r>
            <w:r>
              <w:rPr>
                <w:color w:val="000000"/>
                <w:lang w:val="lt-LT"/>
              </w:rPr>
              <w:t>.</w:t>
            </w:r>
          </w:p>
          <w:p w14:paraId="40AAD761" w14:textId="77777777" w:rsidR="00A77B3E" w:rsidRPr="009201B2" w:rsidRDefault="00A77B3E">
            <w:pPr>
              <w:spacing w:before="100"/>
              <w:rPr>
                <w:color w:val="000000"/>
                <w:lang w:val="lt-LT"/>
              </w:rPr>
            </w:pPr>
          </w:p>
          <w:p w14:paraId="75156C51" w14:textId="1B18DA53" w:rsidR="00A77B3E" w:rsidRPr="009201B2" w:rsidRDefault="006D4AFE">
            <w:pPr>
              <w:spacing w:before="100"/>
              <w:rPr>
                <w:color w:val="000000"/>
                <w:lang w:val="lt-LT"/>
              </w:rPr>
            </w:pPr>
            <w:r w:rsidRPr="00C11613">
              <w:rPr>
                <w:b/>
                <w:bCs/>
                <w:color w:val="000000"/>
                <w:lang w:val="lt-LT"/>
              </w:rPr>
              <w:t xml:space="preserve">Siūlomi minėtų problemų sprendimai, kurie bus </w:t>
            </w:r>
            <w:r w:rsidR="006C5C94">
              <w:rPr>
                <w:b/>
                <w:bCs/>
                <w:color w:val="000000"/>
                <w:lang w:val="lt-LT"/>
              </w:rPr>
              <w:t>įgyvendinam</w:t>
            </w:r>
            <w:r w:rsidRPr="00C11613">
              <w:rPr>
                <w:b/>
                <w:bCs/>
                <w:color w:val="000000"/>
                <w:lang w:val="lt-LT"/>
              </w:rPr>
              <w:t xml:space="preserve">i </w:t>
            </w:r>
            <w:r>
              <w:rPr>
                <w:b/>
                <w:bCs/>
                <w:color w:val="000000"/>
                <w:lang w:val="lt-LT"/>
              </w:rPr>
              <w:t>V</w:t>
            </w:r>
            <w:r w:rsidRPr="00C11613">
              <w:rPr>
                <w:b/>
                <w:bCs/>
                <w:color w:val="000000"/>
                <w:lang w:val="lt-LT"/>
              </w:rPr>
              <w:t>SF lėšomis</w:t>
            </w:r>
            <w:r w:rsidR="00003C2A" w:rsidRPr="009201B2">
              <w:rPr>
                <w:b/>
                <w:bCs/>
                <w:color w:val="000000"/>
                <w:lang w:val="lt-LT"/>
              </w:rPr>
              <w:t>:</w:t>
            </w:r>
          </w:p>
          <w:p w14:paraId="51E95596" w14:textId="3CDC371D" w:rsidR="00A77B3E" w:rsidRPr="009201B2" w:rsidRDefault="00003C2A" w:rsidP="004A5EA0">
            <w:pPr>
              <w:spacing w:before="100"/>
              <w:jc w:val="both"/>
              <w:rPr>
                <w:color w:val="000000"/>
                <w:lang w:val="lt-LT"/>
              </w:rPr>
            </w:pPr>
            <w:r w:rsidRPr="009201B2">
              <w:rPr>
                <w:color w:val="000000"/>
                <w:lang w:val="lt-LT"/>
              </w:rPr>
              <w:t xml:space="preserve">- </w:t>
            </w:r>
            <w:r w:rsidR="006D4AFE" w:rsidRPr="006D4AFE">
              <w:rPr>
                <w:color w:val="000000"/>
                <w:lang w:val="lt-LT"/>
              </w:rPr>
              <w:t>išminuotojų gebėjim</w:t>
            </w:r>
            <w:r w:rsidR="006D4AFE">
              <w:rPr>
                <w:color w:val="000000"/>
                <w:lang w:val="lt-LT"/>
              </w:rPr>
              <w:t>ų</w:t>
            </w:r>
            <w:r w:rsidR="006D4AFE" w:rsidRPr="006D4AFE">
              <w:rPr>
                <w:color w:val="000000"/>
                <w:lang w:val="lt-LT"/>
              </w:rPr>
              <w:t xml:space="preserve"> neutralizuoti, ieškoti ir analizuoti savadarbius sprogstamuosius užtaisus ir karinius sprogmenis</w:t>
            </w:r>
            <w:r w:rsidR="006D4AFE">
              <w:rPr>
                <w:color w:val="000000"/>
                <w:lang w:val="lt-LT"/>
              </w:rPr>
              <w:t xml:space="preserve"> stiprinimas;</w:t>
            </w:r>
          </w:p>
          <w:p w14:paraId="7F854690" w14:textId="3A8CDAAD" w:rsidR="00A77B3E" w:rsidRPr="009201B2" w:rsidRDefault="00003C2A" w:rsidP="004A5EA0">
            <w:pPr>
              <w:spacing w:before="100"/>
              <w:jc w:val="both"/>
              <w:rPr>
                <w:color w:val="000000"/>
                <w:lang w:val="lt-LT"/>
              </w:rPr>
            </w:pPr>
            <w:r w:rsidRPr="009201B2">
              <w:rPr>
                <w:color w:val="000000"/>
                <w:lang w:val="lt-LT"/>
              </w:rPr>
              <w:t xml:space="preserve">- </w:t>
            </w:r>
            <w:r w:rsidR="006D4AFE">
              <w:rPr>
                <w:color w:val="000000"/>
                <w:lang w:val="lt-LT"/>
              </w:rPr>
              <w:t xml:space="preserve">„Aro“ </w:t>
            </w:r>
            <w:r w:rsidR="006D4AFE" w:rsidRPr="006D4AFE">
              <w:rPr>
                <w:color w:val="000000"/>
                <w:lang w:val="lt-LT"/>
              </w:rPr>
              <w:t>pareigūnų, vykdančių specialiąsias antiteroristines operacijas jūroje</w:t>
            </w:r>
            <w:r w:rsidR="006B0505">
              <w:rPr>
                <w:color w:val="000000"/>
                <w:lang w:val="lt-LT"/>
              </w:rPr>
              <w:t xml:space="preserve"> </w:t>
            </w:r>
            <w:r w:rsidR="006D4AFE" w:rsidRPr="006D4AFE">
              <w:rPr>
                <w:color w:val="000000"/>
                <w:lang w:val="lt-LT"/>
              </w:rPr>
              <w:t>ir po vandeniu, taip pat užtikrinančių svarbių valstybės objektų apsaugą, gebėjimų stiprinimas</w:t>
            </w:r>
            <w:r w:rsidRPr="009201B2">
              <w:rPr>
                <w:color w:val="000000"/>
                <w:lang w:val="lt-LT"/>
              </w:rPr>
              <w:t>.</w:t>
            </w:r>
          </w:p>
          <w:p w14:paraId="36F0F1CF" w14:textId="77777777" w:rsidR="00A77B3E" w:rsidRPr="009201B2" w:rsidRDefault="00A77B3E">
            <w:pPr>
              <w:spacing w:before="100"/>
              <w:rPr>
                <w:color w:val="000000"/>
                <w:lang w:val="lt-LT"/>
              </w:rPr>
            </w:pPr>
          </w:p>
          <w:p w14:paraId="54795077" w14:textId="0E5116BF" w:rsidR="00A77B3E" w:rsidRPr="009201B2" w:rsidRDefault="006D4AFE">
            <w:pPr>
              <w:spacing w:before="100"/>
              <w:rPr>
                <w:color w:val="000000"/>
                <w:lang w:val="lt-LT"/>
              </w:rPr>
            </w:pPr>
            <w:r>
              <w:rPr>
                <w:b/>
                <w:bCs/>
                <w:i/>
                <w:iCs/>
                <w:color w:val="000000"/>
                <w:lang w:val="lt-LT"/>
              </w:rPr>
              <w:t>Narkotikai</w:t>
            </w:r>
          </w:p>
          <w:p w14:paraId="4D10BCE5" w14:textId="4D0C963C" w:rsidR="00A77B3E" w:rsidRPr="009201B2" w:rsidRDefault="006D4AFE" w:rsidP="004A5EA0">
            <w:pPr>
              <w:spacing w:before="100"/>
              <w:jc w:val="both"/>
              <w:rPr>
                <w:color w:val="000000"/>
                <w:lang w:val="lt-LT"/>
              </w:rPr>
            </w:pPr>
            <w:r>
              <w:rPr>
                <w:color w:val="000000"/>
                <w:lang w:val="lt-LT"/>
              </w:rPr>
              <w:t>N</w:t>
            </w:r>
            <w:r w:rsidRPr="006D4AFE">
              <w:rPr>
                <w:color w:val="000000"/>
                <w:lang w:val="lt-LT"/>
              </w:rPr>
              <w:t xml:space="preserve">arkotinių medžiagų tyrimo poreikis </w:t>
            </w:r>
            <w:r>
              <w:rPr>
                <w:color w:val="000000"/>
                <w:lang w:val="lt-LT"/>
              </w:rPr>
              <w:t>n</w:t>
            </w:r>
            <w:r w:rsidRPr="006D4AFE">
              <w:rPr>
                <w:color w:val="000000"/>
                <w:lang w:val="lt-LT"/>
              </w:rPr>
              <w:t>emažėja (2019 m. atlikti 8658 tokie tyrimai), nelegalioje rinkoje toliau atsiranda naujų sintetinių psichoaktyviųjų medžiagų (2019 m. pradėti 9 naujų narkotinių (psichotropinių) medžiagų tyrimai), daugėja rastų nelegalių narkotikų gamybos laboratorijų. Be to, tyrimai tampa sudėtingesni, nes kai kuriais atvejais naujų narkotinių (psichotropinių) medžiagų neįmanoma identifikuoti, o tyrimo laikotarpiai ilgėja</w:t>
            </w:r>
            <w:r w:rsidR="00003C2A" w:rsidRPr="009201B2">
              <w:rPr>
                <w:color w:val="000000"/>
                <w:lang w:val="lt-LT"/>
              </w:rPr>
              <w:t>.</w:t>
            </w:r>
          </w:p>
          <w:p w14:paraId="162B8AF7" w14:textId="77777777" w:rsidR="00A77B3E" w:rsidRPr="009201B2" w:rsidRDefault="00A77B3E">
            <w:pPr>
              <w:spacing w:before="100"/>
              <w:rPr>
                <w:color w:val="000000"/>
                <w:lang w:val="lt-LT"/>
              </w:rPr>
            </w:pPr>
          </w:p>
          <w:p w14:paraId="1F7EDD2E" w14:textId="17CA1F24" w:rsidR="00A77B3E" w:rsidRPr="009201B2" w:rsidRDefault="006D4AFE" w:rsidP="004A5EA0">
            <w:pPr>
              <w:spacing w:before="100"/>
              <w:jc w:val="both"/>
              <w:rPr>
                <w:color w:val="000000"/>
                <w:lang w:val="lt-LT"/>
              </w:rPr>
            </w:pPr>
            <w:r w:rsidRPr="00C11613">
              <w:rPr>
                <w:b/>
                <w:bCs/>
                <w:color w:val="000000"/>
                <w:lang w:val="lt-LT"/>
              </w:rPr>
              <w:t xml:space="preserve">Siūlomi minėtų problemų sprendimai, kurie bus </w:t>
            </w:r>
            <w:r w:rsidR="006B0505">
              <w:rPr>
                <w:b/>
                <w:bCs/>
                <w:color w:val="000000"/>
                <w:lang w:val="lt-LT"/>
              </w:rPr>
              <w:t>įgyvendinam</w:t>
            </w:r>
            <w:r w:rsidRPr="00C11613">
              <w:rPr>
                <w:b/>
                <w:bCs/>
                <w:color w:val="000000"/>
                <w:lang w:val="lt-LT"/>
              </w:rPr>
              <w:t xml:space="preserve">i </w:t>
            </w:r>
            <w:r>
              <w:rPr>
                <w:b/>
                <w:bCs/>
                <w:color w:val="000000"/>
                <w:lang w:val="lt-LT"/>
              </w:rPr>
              <w:t>V</w:t>
            </w:r>
            <w:r w:rsidRPr="00C11613">
              <w:rPr>
                <w:b/>
                <w:bCs/>
                <w:color w:val="000000"/>
                <w:lang w:val="lt-LT"/>
              </w:rPr>
              <w:t>SF lėšomis</w:t>
            </w:r>
            <w:r w:rsidR="00003C2A" w:rsidRPr="009201B2">
              <w:rPr>
                <w:b/>
                <w:bCs/>
                <w:color w:val="000000"/>
                <w:lang w:val="lt-LT"/>
              </w:rPr>
              <w:t xml:space="preserve">: </w:t>
            </w:r>
            <w:r w:rsidRPr="006D4AFE">
              <w:rPr>
                <w:color w:val="000000"/>
                <w:lang w:val="lt-LT"/>
              </w:rPr>
              <w:t>gebėjimų atlikti narkotinių ir psichotropinių medžiagų bei jų pirmtakų (prekursorių) tyrimus plėtojimas ir tyrimų efektyvumo didinimas įsigyjant reikiamą įrangą</w:t>
            </w:r>
            <w:r w:rsidR="00003C2A" w:rsidRPr="009201B2">
              <w:rPr>
                <w:color w:val="000000"/>
                <w:lang w:val="lt-LT"/>
              </w:rPr>
              <w:t>.</w:t>
            </w:r>
          </w:p>
          <w:p w14:paraId="60F7F112" w14:textId="77777777" w:rsidR="00A77B3E" w:rsidRPr="009201B2" w:rsidRDefault="00A77B3E">
            <w:pPr>
              <w:spacing w:before="100"/>
              <w:rPr>
                <w:color w:val="000000"/>
                <w:lang w:val="lt-LT"/>
              </w:rPr>
            </w:pPr>
          </w:p>
          <w:p w14:paraId="22E824B2" w14:textId="00CBCE36" w:rsidR="00A77B3E" w:rsidRPr="009201B2" w:rsidRDefault="000018E8">
            <w:pPr>
              <w:spacing w:before="100"/>
              <w:rPr>
                <w:color w:val="000000"/>
                <w:lang w:val="lt-LT"/>
              </w:rPr>
            </w:pPr>
            <w:r>
              <w:rPr>
                <w:b/>
                <w:bCs/>
                <w:i/>
                <w:iCs/>
                <w:color w:val="000000"/>
                <w:lang w:val="lt-LT"/>
              </w:rPr>
              <w:t xml:space="preserve">Kibernetiniai nusikaltimai </w:t>
            </w:r>
            <w:r w:rsidR="00003C2A" w:rsidRPr="009201B2">
              <w:rPr>
                <w:b/>
                <w:bCs/>
                <w:i/>
                <w:iCs/>
                <w:color w:val="000000"/>
                <w:lang w:val="lt-LT"/>
              </w:rPr>
              <w:t xml:space="preserve">– </w:t>
            </w:r>
            <w:r>
              <w:rPr>
                <w:b/>
                <w:bCs/>
                <w:i/>
                <w:iCs/>
                <w:color w:val="000000"/>
                <w:lang w:val="lt-LT"/>
              </w:rPr>
              <w:t>Pajėgumų stiprinimas</w:t>
            </w:r>
            <w:r w:rsidR="00003C2A" w:rsidRPr="009201B2">
              <w:rPr>
                <w:b/>
                <w:bCs/>
                <w:i/>
                <w:iCs/>
                <w:color w:val="000000"/>
                <w:lang w:val="lt-LT"/>
              </w:rPr>
              <w:t xml:space="preserve"> </w:t>
            </w:r>
          </w:p>
          <w:p w14:paraId="3ED47C62" w14:textId="5284A7E7" w:rsidR="00A77B3E" w:rsidRPr="009201B2" w:rsidRDefault="006B0505" w:rsidP="004A5EA0">
            <w:pPr>
              <w:spacing w:before="100"/>
              <w:jc w:val="both"/>
              <w:rPr>
                <w:color w:val="000000"/>
                <w:lang w:val="lt-LT"/>
              </w:rPr>
            </w:pPr>
            <w:r>
              <w:rPr>
                <w:color w:val="000000"/>
                <w:lang w:val="lt-LT"/>
              </w:rPr>
              <w:t>V</w:t>
            </w:r>
            <w:r w:rsidRPr="000018E8">
              <w:rPr>
                <w:color w:val="000000"/>
                <w:lang w:val="lt-LT"/>
              </w:rPr>
              <w:t>is dažnesn</w:t>
            </w:r>
            <w:r>
              <w:rPr>
                <w:color w:val="000000"/>
                <w:lang w:val="lt-LT"/>
              </w:rPr>
              <w:t>e</w:t>
            </w:r>
            <w:r w:rsidRPr="000018E8">
              <w:rPr>
                <w:color w:val="000000"/>
                <w:lang w:val="lt-LT"/>
              </w:rPr>
              <w:t xml:space="preserve"> tendencija </w:t>
            </w:r>
            <w:r>
              <w:rPr>
                <w:color w:val="000000"/>
                <w:lang w:val="lt-LT"/>
              </w:rPr>
              <w:t>tampa k</w:t>
            </w:r>
            <w:r w:rsidR="000018E8" w:rsidRPr="000018E8">
              <w:rPr>
                <w:color w:val="000000"/>
                <w:lang w:val="lt-LT"/>
              </w:rPr>
              <w:t>ibernetinės erdvės išnaudojimas nusikalstamiems ketinimams. Pagrindinės grėsmės, su kuriomis susiduriama dėl kibernetinių nusikaltimų, yra kenkėjiška programinė įranga, išpirkos reikalaujančios programos (</w:t>
            </w:r>
            <w:r w:rsidR="000018E8">
              <w:rPr>
                <w:color w:val="000000"/>
                <w:lang w:val="lt-LT"/>
              </w:rPr>
              <w:t>„</w:t>
            </w:r>
            <w:r w:rsidR="000018E8" w:rsidRPr="000018E8">
              <w:rPr>
                <w:color w:val="000000"/>
                <w:lang w:val="lt-LT"/>
              </w:rPr>
              <w:t>WannaCry</w:t>
            </w:r>
            <w:r w:rsidR="000018E8">
              <w:rPr>
                <w:color w:val="000000"/>
                <w:lang w:val="lt-LT"/>
              </w:rPr>
              <w:t>“</w:t>
            </w:r>
            <w:r w:rsidR="000018E8" w:rsidRPr="000018E8">
              <w:rPr>
                <w:color w:val="000000"/>
                <w:lang w:val="lt-LT"/>
              </w:rPr>
              <w:t>), botnetai, sukčiavimas, vaikų seksualinis išnaudojimas internete, nusikaltimai</w:t>
            </w:r>
            <w:r w:rsidR="00B15C2E">
              <w:rPr>
                <w:color w:val="000000"/>
                <w:lang w:val="lt-LT"/>
              </w:rPr>
              <w:t xml:space="preserve">, taikantis į </w:t>
            </w:r>
            <w:r w:rsidR="000018E8" w:rsidRPr="000018E8">
              <w:rPr>
                <w:color w:val="000000"/>
                <w:lang w:val="lt-LT"/>
              </w:rPr>
              <w:t xml:space="preserve">ypatingos svarbos infrastruktūrą ir vis platesnis debesų kompiuterijos naudojimas kibernetiniams nusikaltimams. Reikėtų pažymėti, kad kibernetinių nusikaltimų srities iššūkius galima </w:t>
            </w:r>
            <w:r w:rsidR="00B15C2E">
              <w:rPr>
                <w:color w:val="000000"/>
                <w:lang w:val="lt-LT"/>
              </w:rPr>
              <w:t>įveikti</w:t>
            </w:r>
            <w:r w:rsidR="000018E8" w:rsidRPr="000018E8">
              <w:rPr>
                <w:color w:val="000000"/>
                <w:lang w:val="lt-LT"/>
              </w:rPr>
              <w:t xml:space="preserve"> plėtojant daiktų internetą ir prijungiant vis daugiau įrenginių. Pagrindinės kibernetinių nusikaltimų ypatybės: sudėtingas veikėjų identifikavimas, daugybė tikslų, dėl kurių sunku išaiškinti ir ištirti tokius nusikaltimus. Paprastai kibernetiniai nusikaltimai vykdomi siekiant ekonominės naudos, tačiau gali </w:t>
            </w:r>
            <w:r w:rsidR="00B15C2E">
              <w:rPr>
                <w:color w:val="000000"/>
                <w:lang w:val="lt-LT"/>
              </w:rPr>
              <w:t>kilti</w:t>
            </w:r>
            <w:r w:rsidR="000018E8" w:rsidRPr="000018E8">
              <w:rPr>
                <w:color w:val="000000"/>
                <w:lang w:val="lt-LT"/>
              </w:rPr>
              <w:t xml:space="preserve"> ir politinės, socialinės ir visuomenės saugumo grėsmės</w:t>
            </w:r>
            <w:r w:rsidR="00003C2A" w:rsidRPr="009201B2">
              <w:rPr>
                <w:color w:val="000000"/>
                <w:lang w:val="lt-LT"/>
              </w:rPr>
              <w:t xml:space="preserve">. </w:t>
            </w:r>
          </w:p>
          <w:p w14:paraId="78B48C85" w14:textId="77777777" w:rsidR="00A77B3E" w:rsidRPr="009201B2" w:rsidRDefault="00A77B3E" w:rsidP="004A5EA0">
            <w:pPr>
              <w:spacing w:before="100"/>
              <w:jc w:val="both"/>
              <w:rPr>
                <w:color w:val="000000"/>
                <w:lang w:val="lt-LT"/>
              </w:rPr>
            </w:pPr>
          </w:p>
          <w:p w14:paraId="417FD11D" w14:textId="44612465" w:rsidR="00A77B3E" w:rsidRPr="009201B2" w:rsidRDefault="00B15C2E" w:rsidP="004A5EA0">
            <w:pPr>
              <w:spacing w:before="100"/>
              <w:jc w:val="both"/>
              <w:rPr>
                <w:color w:val="000000"/>
                <w:lang w:val="lt-LT"/>
              </w:rPr>
            </w:pPr>
            <w:r w:rsidRPr="00B15C2E">
              <w:rPr>
                <w:color w:val="000000"/>
                <w:lang w:val="lt-LT"/>
              </w:rPr>
              <w:t>Nuo 2018 m. iki 2019 m. informacinių technologijų mokslinių tyrimų, patikrinimų ir techninių darbų apimtis padidėjo 22 proc. Toliau tobulėjant technologijoms ir plečiantis jų naudojimui, tokių užduočių skaičius sparčiai didės, o tyrimai taps dar sudėtingesni. Šios srities įgūdžiai taip pat svarbūs atliekant sudėtingus kitų sunkių ir labai sunkių nusikaltimų tyrimus.</w:t>
            </w:r>
          </w:p>
          <w:p w14:paraId="5F8616AE" w14:textId="77777777" w:rsidR="00A77B3E" w:rsidRPr="009201B2" w:rsidRDefault="00A77B3E">
            <w:pPr>
              <w:spacing w:before="100"/>
              <w:rPr>
                <w:color w:val="000000"/>
                <w:lang w:val="lt-LT"/>
              </w:rPr>
            </w:pPr>
          </w:p>
          <w:p w14:paraId="3621068D" w14:textId="1407F9AC" w:rsidR="00A77B3E" w:rsidRPr="009201B2" w:rsidRDefault="00FA398A" w:rsidP="004A5EA0">
            <w:pPr>
              <w:spacing w:before="100"/>
              <w:jc w:val="both"/>
              <w:rPr>
                <w:color w:val="000000"/>
                <w:lang w:val="lt-LT"/>
              </w:rPr>
            </w:pPr>
            <w:r w:rsidRPr="00C11613">
              <w:rPr>
                <w:b/>
                <w:bCs/>
                <w:color w:val="000000"/>
                <w:lang w:val="lt-LT"/>
              </w:rPr>
              <w:t xml:space="preserve">Siūlomi minėtų problemų sprendimai, kurie bus </w:t>
            </w:r>
            <w:r w:rsidR="006B0505">
              <w:rPr>
                <w:b/>
                <w:bCs/>
                <w:color w:val="000000"/>
                <w:lang w:val="lt-LT"/>
              </w:rPr>
              <w:t>įgyvendina</w:t>
            </w:r>
            <w:r w:rsidRPr="00C11613">
              <w:rPr>
                <w:b/>
                <w:bCs/>
                <w:color w:val="000000"/>
                <w:lang w:val="lt-LT"/>
              </w:rPr>
              <w:t xml:space="preserve">mi </w:t>
            </w:r>
            <w:r>
              <w:rPr>
                <w:b/>
                <w:bCs/>
                <w:color w:val="000000"/>
                <w:lang w:val="lt-LT"/>
              </w:rPr>
              <w:t>V</w:t>
            </w:r>
            <w:r w:rsidRPr="00C11613">
              <w:rPr>
                <w:b/>
                <w:bCs/>
                <w:color w:val="000000"/>
                <w:lang w:val="lt-LT"/>
              </w:rPr>
              <w:t>SF lėšomis</w:t>
            </w:r>
            <w:r>
              <w:rPr>
                <w:b/>
                <w:bCs/>
                <w:color w:val="000000"/>
                <w:lang w:val="lt-LT"/>
              </w:rPr>
              <w:t>:</w:t>
            </w:r>
            <w:r w:rsidRPr="009201B2">
              <w:rPr>
                <w:color w:val="000000"/>
                <w:lang w:val="lt-LT"/>
              </w:rPr>
              <w:t xml:space="preserve"> </w:t>
            </w:r>
            <w:r w:rsidR="00B15C2E" w:rsidRPr="00B15C2E">
              <w:rPr>
                <w:color w:val="000000"/>
                <w:lang w:val="lt-LT"/>
              </w:rPr>
              <w:t>kibernetinių nusikaltimų prevencijos, atskleidimo ir tyrimo bei elektroninių įrodymų aptikimo, rinkimo, registravimo ir analizės gebėjim</w:t>
            </w:r>
            <w:r w:rsidR="00B15C2E">
              <w:rPr>
                <w:color w:val="000000"/>
                <w:lang w:val="lt-LT"/>
              </w:rPr>
              <w:t>ų stiprinimas</w:t>
            </w:r>
            <w:r w:rsidR="00B15C2E" w:rsidRPr="00B15C2E">
              <w:rPr>
                <w:color w:val="000000"/>
                <w:lang w:val="lt-LT"/>
              </w:rPr>
              <w:t>, kibernetinių nusikaltimų tyrimo pajėgum</w:t>
            </w:r>
            <w:r w:rsidR="00B15C2E">
              <w:rPr>
                <w:color w:val="000000"/>
                <w:lang w:val="lt-LT"/>
              </w:rPr>
              <w:t xml:space="preserve">ų didinimas </w:t>
            </w:r>
            <w:r w:rsidR="00B15C2E" w:rsidRPr="00B15C2E">
              <w:rPr>
                <w:color w:val="000000"/>
                <w:lang w:val="lt-LT"/>
              </w:rPr>
              <w:t>įsigyjant tyrimo įrang</w:t>
            </w:r>
            <w:r w:rsidR="00B15C2E">
              <w:rPr>
                <w:color w:val="000000"/>
                <w:lang w:val="lt-LT"/>
              </w:rPr>
              <w:t>ą.</w:t>
            </w:r>
          </w:p>
          <w:p w14:paraId="2C0513EF" w14:textId="77777777" w:rsidR="00A77B3E" w:rsidRPr="009201B2" w:rsidRDefault="00A77B3E">
            <w:pPr>
              <w:spacing w:before="100"/>
              <w:rPr>
                <w:color w:val="000000"/>
                <w:lang w:val="lt-LT"/>
              </w:rPr>
            </w:pPr>
          </w:p>
          <w:p w14:paraId="59DA80F4" w14:textId="4AF61E6B" w:rsidR="00A77B3E" w:rsidRPr="009201B2" w:rsidRDefault="00003C2A">
            <w:pPr>
              <w:spacing w:before="100"/>
              <w:rPr>
                <w:color w:val="000000"/>
                <w:lang w:val="lt-LT"/>
              </w:rPr>
            </w:pPr>
            <w:r w:rsidRPr="009201B2">
              <w:rPr>
                <w:b/>
                <w:bCs/>
                <w:i/>
                <w:iCs/>
                <w:color w:val="000000"/>
                <w:lang w:val="lt-LT"/>
              </w:rPr>
              <w:t>Organi</w:t>
            </w:r>
            <w:r w:rsidR="00FA398A">
              <w:rPr>
                <w:b/>
                <w:bCs/>
                <w:i/>
                <w:iCs/>
                <w:color w:val="000000"/>
                <w:lang w:val="lt-LT"/>
              </w:rPr>
              <w:t>zuotas nusikalstamumas</w:t>
            </w:r>
            <w:r w:rsidRPr="009201B2">
              <w:rPr>
                <w:b/>
                <w:bCs/>
                <w:i/>
                <w:iCs/>
                <w:color w:val="000000"/>
                <w:lang w:val="lt-LT"/>
              </w:rPr>
              <w:t xml:space="preserve"> </w:t>
            </w:r>
          </w:p>
          <w:p w14:paraId="2E91F545" w14:textId="46D7E28F" w:rsidR="00A77B3E" w:rsidRPr="009201B2" w:rsidRDefault="00B15C2E" w:rsidP="004A5EA0">
            <w:pPr>
              <w:spacing w:before="100"/>
              <w:jc w:val="both"/>
              <w:rPr>
                <w:color w:val="000000"/>
                <w:lang w:val="lt-LT"/>
              </w:rPr>
            </w:pPr>
            <w:r w:rsidRPr="00B15C2E">
              <w:rPr>
                <w:color w:val="000000"/>
                <w:lang w:val="lt-LT"/>
              </w:rPr>
              <w:lastRenderedPageBreak/>
              <w:t>Norint pasiekti veiksmingų rezultatų, būtina stiprinti policijos gebėjimus kovoti su sunkiais ir organizuotais nusikaltimais bei terorizmu ir tirti nusikaltimus, užtikrinant, kad policija būtų aprūpinta pažangiomis priemonėmis ir specialia įranga.</w:t>
            </w:r>
          </w:p>
          <w:p w14:paraId="307B2FBC" w14:textId="77777777" w:rsidR="00A77B3E" w:rsidRPr="009201B2" w:rsidRDefault="00A77B3E">
            <w:pPr>
              <w:spacing w:before="100"/>
              <w:rPr>
                <w:color w:val="000000"/>
                <w:lang w:val="lt-LT"/>
              </w:rPr>
            </w:pPr>
          </w:p>
          <w:p w14:paraId="00E306B5" w14:textId="6C75FE50" w:rsidR="00A77B3E" w:rsidRPr="009201B2" w:rsidRDefault="00B15C2E">
            <w:pPr>
              <w:spacing w:before="100"/>
              <w:rPr>
                <w:color w:val="000000"/>
                <w:lang w:val="lt-LT"/>
              </w:rPr>
            </w:pPr>
            <w:r w:rsidRPr="00C11613">
              <w:rPr>
                <w:b/>
                <w:bCs/>
                <w:color w:val="000000"/>
                <w:lang w:val="lt-LT"/>
              </w:rPr>
              <w:t xml:space="preserve">Siūlomi minėtų problemų sprendimai, kurie bus </w:t>
            </w:r>
            <w:r w:rsidR="006B0505">
              <w:rPr>
                <w:b/>
                <w:bCs/>
                <w:color w:val="000000"/>
                <w:lang w:val="lt-LT"/>
              </w:rPr>
              <w:t>įgyvendina</w:t>
            </w:r>
            <w:r w:rsidRPr="00C11613">
              <w:rPr>
                <w:b/>
                <w:bCs/>
                <w:color w:val="000000"/>
                <w:lang w:val="lt-LT"/>
              </w:rPr>
              <w:t xml:space="preserve">mi </w:t>
            </w:r>
            <w:r>
              <w:rPr>
                <w:b/>
                <w:bCs/>
                <w:color w:val="000000"/>
                <w:lang w:val="lt-LT"/>
              </w:rPr>
              <w:t>V</w:t>
            </w:r>
            <w:r w:rsidRPr="00C11613">
              <w:rPr>
                <w:b/>
                <w:bCs/>
                <w:color w:val="000000"/>
                <w:lang w:val="lt-LT"/>
              </w:rPr>
              <w:t>SF lėšomis</w:t>
            </w:r>
            <w:r w:rsidR="00003C2A" w:rsidRPr="009201B2">
              <w:rPr>
                <w:b/>
                <w:bCs/>
                <w:color w:val="000000"/>
                <w:lang w:val="lt-LT"/>
              </w:rPr>
              <w:t>:</w:t>
            </w:r>
          </w:p>
          <w:p w14:paraId="20850534" w14:textId="0AEE36A6" w:rsidR="00A77B3E" w:rsidRPr="009201B2" w:rsidRDefault="00003C2A" w:rsidP="004A5EA0">
            <w:pPr>
              <w:spacing w:before="100"/>
              <w:jc w:val="both"/>
              <w:rPr>
                <w:color w:val="000000"/>
                <w:lang w:val="lt-LT"/>
              </w:rPr>
            </w:pPr>
            <w:r w:rsidRPr="009201B2">
              <w:rPr>
                <w:color w:val="000000"/>
                <w:lang w:val="lt-LT"/>
              </w:rPr>
              <w:t xml:space="preserve">- </w:t>
            </w:r>
            <w:r w:rsidR="00B15C2E" w:rsidRPr="00B15C2E">
              <w:rPr>
                <w:color w:val="000000"/>
                <w:lang w:val="lt-LT"/>
              </w:rPr>
              <w:t xml:space="preserve"> elektroninių nusikaltimų prevencijos, atskleidimo ir tyrimo bei elektroninių įrodymų aptikimo, rinkimo, registravimo ir analizės gebėjim</w:t>
            </w:r>
            <w:r w:rsidR="00B15C2E">
              <w:rPr>
                <w:color w:val="000000"/>
                <w:lang w:val="lt-LT"/>
              </w:rPr>
              <w:t>ų stiprinimas ir</w:t>
            </w:r>
            <w:r w:rsidR="00B15C2E" w:rsidRPr="00B15C2E">
              <w:rPr>
                <w:color w:val="000000"/>
                <w:lang w:val="lt-LT"/>
              </w:rPr>
              <w:t xml:space="preserve"> informacijos apdorojimo, analizės ir keitimosi ja įgūdži</w:t>
            </w:r>
            <w:r w:rsidR="00B15C2E">
              <w:rPr>
                <w:color w:val="000000"/>
                <w:lang w:val="lt-LT"/>
              </w:rPr>
              <w:t>ų ugdymas</w:t>
            </w:r>
            <w:r w:rsidR="00B15C2E" w:rsidRPr="00B15C2E">
              <w:rPr>
                <w:color w:val="000000"/>
                <w:lang w:val="lt-LT"/>
              </w:rPr>
              <w:t>.</w:t>
            </w:r>
            <w:r w:rsidR="00B15C2E">
              <w:rPr>
                <w:color w:val="000000"/>
                <w:lang w:val="lt-LT"/>
              </w:rPr>
              <w:t xml:space="preserve"> </w:t>
            </w:r>
          </w:p>
          <w:p w14:paraId="2A255F41" w14:textId="77777777" w:rsidR="00A77B3E" w:rsidRPr="009201B2" w:rsidRDefault="00A77B3E">
            <w:pPr>
              <w:spacing w:before="100"/>
              <w:rPr>
                <w:color w:val="000000"/>
                <w:lang w:val="lt-LT"/>
              </w:rPr>
            </w:pPr>
          </w:p>
          <w:p w14:paraId="76C40AE7" w14:textId="57400F16" w:rsidR="00A77B3E" w:rsidRPr="009201B2" w:rsidRDefault="00B15C2E">
            <w:pPr>
              <w:spacing w:before="100"/>
              <w:rPr>
                <w:color w:val="000000"/>
                <w:lang w:val="lt-LT"/>
              </w:rPr>
            </w:pPr>
            <w:r>
              <w:rPr>
                <w:b/>
                <w:bCs/>
                <w:i/>
                <w:iCs/>
                <w:color w:val="000000"/>
                <w:lang w:val="lt-LT"/>
              </w:rPr>
              <w:t>Kova su korupcija</w:t>
            </w:r>
          </w:p>
          <w:p w14:paraId="59E330A5" w14:textId="7AE6A374" w:rsidR="00A77B3E" w:rsidRPr="009201B2" w:rsidRDefault="00B15C2E" w:rsidP="004A5EA0">
            <w:pPr>
              <w:spacing w:before="100"/>
              <w:jc w:val="both"/>
              <w:rPr>
                <w:color w:val="000000"/>
                <w:lang w:val="lt-LT"/>
              </w:rPr>
            </w:pPr>
            <w:r w:rsidRPr="00B15C2E">
              <w:rPr>
                <w:color w:val="000000"/>
                <w:lang w:val="lt-LT"/>
              </w:rPr>
              <w:t>LT tapus visateise EBPO darbo grupės dėl kyšininkavimo tarptautiniuose verslo sandoriuose nare, vienas svarbiausių vaidmenų tenka STT, kuri yra atsakinga už aukštų LT ir užsienio pareigūnų kyšininkavimo atskleidimą. Siekiant užtikrinti, kad STT galėtų operatyviai nustatyti tarptautinio kyšininkavimo atvejus ir vykdyti baudžiamąjį persekiojimą, būtina stiprinti pareigūnų, atsakingų už tarptautinio kyšininkavimo atvejų tyrimą, kompetenciją, perimant gerąją ES valstybių narių ir kitų šalių praktiką.</w:t>
            </w:r>
            <w:r>
              <w:rPr>
                <w:color w:val="000000"/>
                <w:lang w:val="lt-LT"/>
              </w:rPr>
              <w:t xml:space="preserve"> </w:t>
            </w:r>
            <w:r w:rsidRPr="00B15C2E">
              <w:rPr>
                <w:color w:val="000000"/>
                <w:lang w:val="lt-LT"/>
              </w:rPr>
              <w:t xml:space="preserve">Šiuo tikslu tikslinga stiprinti STT pareigūnų </w:t>
            </w:r>
            <w:r>
              <w:rPr>
                <w:color w:val="000000"/>
                <w:lang w:val="lt-LT"/>
              </w:rPr>
              <w:t>–</w:t>
            </w:r>
            <w:r w:rsidRPr="00B15C2E">
              <w:rPr>
                <w:color w:val="000000"/>
                <w:lang w:val="lt-LT"/>
              </w:rPr>
              <w:t xml:space="preserve"> tyrimus organizuojančių vadovų ir tyrimus atliekančių tyrėjų </w:t>
            </w:r>
            <w:r>
              <w:rPr>
                <w:color w:val="000000"/>
                <w:lang w:val="lt-LT"/>
              </w:rPr>
              <w:t>–</w:t>
            </w:r>
            <w:r w:rsidRPr="00B15C2E">
              <w:rPr>
                <w:color w:val="000000"/>
                <w:lang w:val="lt-LT"/>
              </w:rPr>
              <w:t xml:space="preserve"> kompetenciją tirti tarptautinio kyšininkavimo atvejus: organizuoti vizitus ir mokymus, skirtus keistis gerąja patirtimi; organizuoti pažintinius vizitus į ES agentūras, sudarant sąlygas operatyviam ir efektyviam tarptautiniam bendradarbiavimui ir koordinavimui sunkių formų tarptautinio ir organizuoto nusikalstamumo srityje; parengti tarptautinio kyšininkavimo tyrimų ir operatyvinio bendradarbiavimo gerosios patirties rinkinį.</w:t>
            </w:r>
          </w:p>
          <w:p w14:paraId="7BCE21C0" w14:textId="77777777" w:rsidR="00A77B3E" w:rsidRPr="009201B2" w:rsidRDefault="00A77B3E" w:rsidP="004A5EA0">
            <w:pPr>
              <w:spacing w:before="100"/>
              <w:jc w:val="both"/>
              <w:rPr>
                <w:color w:val="000000"/>
                <w:lang w:val="lt-LT"/>
              </w:rPr>
            </w:pPr>
          </w:p>
          <w:p w14:paraId="2DF1AD99" w14:textId="5BC85CC9" w:rsidR="00A77B3E" w:rsidRPr="009201B2" w:rsidRDefault="00B15C2E" w:rsidP="004A5EA0">
            <w:pPr>
              <w:spacing w:before="100"/>
              <w:jc w:val="both"/>
              <w:rPr>
                <w:color w:val="000000"/>
                <w:lang w:val="lt-LT"/>
              </w:rPr>
            </w:pPr>
            <w:r>
              <w:rPr>
                <w:b/>
                <w:bCs/>
                <w:color w:val="000000"/>
                <w:lang w:val="lt-LT"/>
              </w:rPr>
              <w:t>V</w:t>
            </w:r>
            <w:r w:rsidR="00003C2A" w:rsidRPr="009201B2">
              <w:rPr>
                <w:b/>
                <w:bCs/>
                <w:color w:val="000000"/>
                <w:lang w:val="lt-LT"/>
              </w:rPr>
              <w:t xml:space="preserve">SF </w:t>
            </w:r>
            <w:r>
              <w:rPr>
                <w:b/>
                <w:bCs/>
                <w:color w:val="000000"/>
                <w:lang w:val="lt-LT"/>
              </w:rPr>
              <w:t xml:space="preserve">lėšos taip pat bus naudojamos </w:t>
            </w:r>
            <w:r w:rsidRPr="00B15C2E">
              <w:rPr>
                <w:color w:val="000000"/>
                <w:lang w:val="lt-LT"/>
              </w:rPr>
              <w:t xml:space="preserve">korupcijos prevencijos veiklos efektyvumui didinti, o tai duos geriausius rezultatus ne tik užkertant kelią sunkiems korupcinio pobūdžio nusikaltimams, bet ir kuriant korupcijai atsparią aplinką. Bus siekiama spręsti fragmentiško antikorupcinio švietimo problemą, sudarant sąlygas mokytojams kokybiškai mokyti antikorupcinio sąmoningumo. </w:t>
            </w:r>
            <w:r>
              <w:rPr>
                <w:color w:val="000000"/>
                <w:lang w:val="lt-LT"/>
              </w:rPr>
              <w:t>V</w:t>
            </w:r>
            <w:r w:rsidRPr="00B15C2E">
              <w:rPr>
                <w:color w:val="000000"/>
                <w:lang w:val="lt-LT"/>
              </w:rPr>
              <w:t>SF lėšomis bus kuriamos priemonės, ugdymo gairės ir metodikos, taip pat rengiami mokytojai darbui su šiomis priemonėmis, kurios bus pritaikytos individualiam ir grupiniam mokinių ugdymui, priemonės bus kuriamos e. formatu, pritaikant jas didesnei sklaidai Lietuvos mokyklose</w:t>
            </w:r>
            <w:r>
              <w:rPr>
                <w:color w:val="000000"/>
                <w:lang w:val="lt-LT"/>
              </w:rPr>
              <w:t xml:space="preserve">. </w:t>
            </w:r>
          </w:p>
          <w:p w14:paraId="2B9DA152" w14:textId="77777777" w:rsidR="00A77B3E" w:rsidRPr="009201B2" w:rsidRDefault="00A77B3E">
            <w:pPr>
              <w:spacing w:before="100"/>
              <w:rPr>
                <w:color w:val="000000"/>
                <w:lang w:val="lt-LT"/>
              </w:rPr>
            </w:pPr>
          </w:p>
          <w:p w14:paraId="59429F5A" w14:textId="25287154" w:rsidR="00A77B3E" w:rsidRPr="009201B2" w:rsidRDefault="00B15C2E">
            <w:pPr>
              <w:spacing w:before="100"/>
              <w:rPr>
                <w:color w:val="000000"/>
                <w:lang w:val="lt-LT"/>
              </w:rPr>
            </w:pPr>
            <w:r>
              <w:rPr>
                <w:b/>
                <w:bCs/>
                <w:color w:val="000000"/>
                <w:lang w:val="lt-LT"/>
              </w:rPr>
              <w:t>Siekiant KT</w:t>
            </w:r>
            <w:r w:rsidR="00BE352F">
              <w:rPr>
                <w:b/>
                <w:bCs/>
                <w:color w:val="000000"/>
                <w:lang w:val="lt-LT"/>
              </w:rPr>
              <w:t>3</w:t>
            </w:r>
            <w:r>
              <w:rPr>
                <w:b/>
                <w:bCs/>
                <w:color w:val="000000"/>
                <w:lang w:val="lt-LT"/>
              </w:rPr>
              <w:t xml:space="preserve"> ir </w:t>
            </w:r>
            <w:r w:rsidRPr="00B15C2E">
              <w:rPr>
                <w:b/>
                <w:bCs/>
                <w:color w:val="000000"/>
                <w:lang w:val="lt-LT"/>
              </w:rPr>
              <w:t>II priedo įgyvendinimo priemonės, bus remiami šie veiksmai (III priedas)</w:t>
            </w:r>
            <w:r w:rsidR="00003C2A" w:rsidRPr="009201B2">
              <w:rPr>
                <w:b/>
                <w:bCs/>
                <w:color w:val="000000"/>
                <w:lang w:val="lt-LT"/>
              </w:rPr>
              <w:t xml:space="preserve">: </w:t>
            </w:r>
          </w:p>
          <w:p w14:paraId="6BE8345B" w14:textId="30DFE5C2" w:rsidR="00A77B3E" w:rsidRPr="009201B2" w:rsidRDefault="00003C2A" w:rsidP="004A5EA0">
            <w:pPr>
              <w:spacing w:before="100"/>
              <w:jc w:val="both"/>
              <w:rPr>
                <w:color w:val="000000"/>
                <w:lang w:val="lt-LT"/>
              </w:rPr>
            </w:pPr>
            <w:r w:rsidRPr="009201B2">
              <w:rPr>
                <w:color w:val="000000"/>
                <w:lang w:val="lt-LT"/>
              </w:rPr>
              <w:t xml:space="preserve">- </w:t>
            </w:r>
            <w:r w:rsidR="00B15C2E">
              <w:rPr>
                <w:color w:val="000000"/>
                <w:lang w:val="lt-LT"/>
              </w:rPr>
              <w:t>I</w:t>
            </w:r>
            <w:r w:rsidR="00B15C2E" w:rsidRPr="00B15C2E">
              <w:rPr>
                <w:color w:val="000000"/>
                <w:lang w:val="lt-LT"/>
              </w:rPr>
              <w:t xml:space="preserve">RT sistemų, padedančių siekti šio reglamento tikslų, kūrimas, pritaikymas ir priežiūra, mokymas naudotis tokiomis sistemomis, tokių sistemų sąveikos komponentų ir duomenų kokybės testavimas ir gerinimas (II priedo 3 </w:t>
            </w:r>
            <w:r w:rsidR="00B15C2E">
              <w:rPr>
                <w:color w:val="000000"/>
                <w:lang w:val="lt-LT"/>
              </w:rPr>
              <w:t xml:space="preserve">dalies </w:t>
            </w:r>
            <w:r w:rsidR="00B15C2E" w:rsidRPr="00B15C2E">
              <w:rPr>
                <w:color w:val="000000"/>
                <w:lang w:val="lt-LT"/>
              </w:rPr>
              <w:t xml:space="preserve"> a, b, d punktai);</w:t>
            </w:r>
          </w:p>
          <w:p w14:paraId="462D8025" w14:textId="73C767D7" w:rsidR="00A77B3E" w:rsidRPr="009201B2" w:rsidRDefault="00003C2A" w:rsidP="004A5EA0">
            <w:pPr>
              <w:spacing w:before="100"/>
              <w:jc w:val="both"/>
              <w:rPr>
                <w:color w:val="000000"/>
                <w:lang w:val="lt-LT"/>
              </w:rPr>
            </w:pPr>
            <w:r w:rsidRPr="009201B2">
              <w:rPr>
                <w:color w:val="000000"/>
                <w:lang w:val="lt-LT"/>
              </w:rPr>
              <w:t xml:space="preserve">- </w:t>
            </w:r>
            <w:r w:rsidR="00B15C2E">
              <w:rPr>
                <w:color w:val="000000"/>
                <w:lang w:val="lt-LT"/>
              </w:rPr>
              <w:t>v</w:t>
            </w:r>
            <w:r w:rsidR="00B15C2E" w:rsidRPr="00B15C2E">
              <w:rPr>
                <w:color w:val="000000"/>
                <w:lang w:val="lt-LT"/>
              </w:rPr>
              <w:t>eiksmai, kuriais remiamas veiksmingas ir koordinuotas reagavimas į krizes ir susiejami esami konkretiems sektoriams būdingi pajėgumai, k</w:t>
            </w:r>
            <w:bookmarkStart w:id="18" w:name="_GoBack"/>
            <w:bookmarkEnd w:id="18"/>
            <w:r w:rsidR="00B15C2E" w:rsidRPr="00B15C2E">
              <w:rPr>
                <w:color w:val="000000"/>
                <w:lang w:val="lt-LT"/>
              </w:rPr>
              <w:t xml:space="preserve">ompetencijos centrai ir informuotumo apie padėtį centrai, įskaitant sveikatos, civilinės saugos, terorizmo ir kibernetinių nusikaltimų centrus (II </w:t>
            </w:r>
            <w:r w:rsidR="00B15C2E">
              <w:rPr>
                <w:color w:val="000000"/>
                <w:lang w:val="lt-LT"/>
              </w:rPr>
              <w:t xml:space="preserve">priedo </w:t>
            </w:r>
            <w:r w:rsidR="00B15C2E" w:rsidRPr="00B15C2E">
              <w:rPr>
                <w:color w:val="000000"/>
                <w:lang w:val="lt-LT"/>
              </w:rPr>
              <w:t xml:space="preserve">3 </w:t>
            </w:r>
            <w:r w:rsidR="00B15C2E">
              <w:rPr>
                <w:color w:val="000000"/>
                <w:lang w:val="lt-LT"/>
              </w:rPr>
              <w:t>dalies</w:t>
            </w:r>
            <w:r w:rsidR="00B15C2E" w:rsidRPr="00B15C2E">
              <w:rPr>
                <w:color w:val="000000"/>
                <w:lang w:val="lt-LT"/>
              </w:rPr>
              <w:t xml:space="preserve"> a, b, d punktai)</w:t>
            </w:r>
            <w:r w:rsidRPr="009201B2">
              <w:rPr>
                <w:color w:val="000000"/>
                <w:lang w:val="lt-LT"/>
              </w:rPr>
              <w:t>;</w:t>
            </w:r>
          </w:p>
          <w:p w14:paraId="5A99D34C" w14:textId="1B906083" w:rsidR="00A77B3E" w:rsidRPr="009201B2" w:rsidRDefault="00003C2A" w:rsidP="004A5EA0">
            <w:pPr>
              <w:spacing w:before="100"/>
              <w:jc w:val="both"/>
              <w:rPr>
                <w:color w:val="000000"/>
                <w:lang w:val="lt-LT"/>
              </w:rPr>
            </w:pPr>
            <w:r w:rsidRPr="009201B2">
              <w:rPr>
                <w:color w:val="000000"/>
                <w:lang w:val="lt-LT"/>
              </w:rPr>
              <w:t xml:space="preserve">- </w:t>
            </w:r>
            <w:r w:rsidR="008A30AD" w:rsidRPr="008A30AD">
              <w:rPr>
                <w:color w:val="000000"/>
                <w:lang w:val="lt-LT"/>
              </w:rPr>
              <w:t>teikiant paramą teminiams arba tarpteminiams specializuotų nacionalinių padalinių ir nacionalinių kontaktinių centrų tinklams, kad būtų didinamas tarpusavio pasitikėjimas, kei</w:t>
            </w:r>
            <w:r w:rsidR="008A30AD">
              <w:rPr>
                <w:color w:val="000000"/>
                <w:lang w:val="lt-LT"/>
              </w:rPr>
              <w:t xml:space="preserve">timasis </w:t>
            </w:r>
            <w:r w:rsidR="008A30AD" w:rsidRPr="008A30AD">
              <w:rPr>
                <w:color w:val="000000"/>
                <w:lang w:val="lt-LT"/>
              </w:rPr>
              <w:t xml:space="preserve">praktinėmis žiniomis, informacija, patirtimi ir geriausios praktikos pavyzdžiais bei </w:t>
            </w:r>
            <w:r w:rsidR="008A30AD">
              <w:rPr>
                <w:color w:val="000000"/>
                <w:lang w:val="lt-LT"/>
              </w:rPr>
              <w:t>jų sklaida</w:t>
            </w:r>
            <w:r w:rsidR="008A30AD" w:rsidRPr="008A30AD">
              <w:rPr>
                <w:color w:val="000000"/>
                <w:lang w:val="lt-LT"/>
              </w:rPr>
              <w:t>, ištekli</w:t>
            </w:r>
            <w:r w:rsidR="008A30AD">
              <w:rPr>
                <w:color w:val="000000"/>
                <w:lang w:val="lt-LT"/>
              </w:rPr>
              <w:t>ų</w:t>
            </w:r>
            <w:r w:rsidR="008A30AD" w:rsidRPr="008A30AD">
              <w:rPr>
                <w:color w:val="000000"/>
                <w:lang w:val="lt-LT"/>
              </w:rPr>
              <w:t xml:space="preserve"> ir kompetencij</w:t>
            </w:r>
            <w:r w:rsidR="008A30AD">
              <w:rPr>
                <w:color w:val="000000"/>
                <w:lang w:val="lt-LT"/>
              </w:rPr>
              <w:t>os</w:t>
            </w:r>
            <w:r w:rsidR="008A30AD" w:rsidRPr="008A30AD">
              <w:rPr>
                <w:color w:val="000000"/>
                <w:lang w:val="lt-LT"/>
              </w:rPr>
              <w:t xml:space="preserve"> bendruose kompetencijos centruose </w:t>
            </w:r>
            <w:r w:rsidR="008A30AD">
              <w:rPr>
                <w:color w:val="000000"/>
                <w:lang w:val="lt-LT"/>
              </w:rPr>
              <w:t xml:space="preserve">telkimas </w:t>
            </w:r>
            <w:r w:rsidR="008A30AD" w:rsidRPr="008A30AD">
              <w:rPr>
                <w:color w:val="000000"/>
                <w:lang w:val="lt-LT"/>
              </w:rPr>
              <w:t xml:space="preserve">(II </w:t>
            </w:r>
            <w:r w:rsidR="008A30AD">
              <w:rPr>
                <w:color w:val="000000"/>
                <w:lang w:val="lt-LT"/>
              </w:rPr>
              <w:t xml:space="preserve">priedo </w:t>
            </w:r>
            <w:r w:rsidR="008A30AD" w:rsidRPr="008A30AD">
              <w:rPr>
                <w:color w:val="000000"/>
                <w:lang w:val="lt-LT"/>
              </w:rPr>
              <w:t xml:space="preserve">3 </w:t>
            </w:r>
            <w:r w:rsidR="008A30AD">
              <w:rPr>
                <w:color w:val="000000"/>
                <w:lang w:val="lt-LT"/>
              </w:rPr>
              <w:t>dalies</w:t>
            </w:r>
            <w:r w:rsidR="008A30AD" w:rsidRPr="008A30AD">
              <w:rPr>
                <w:color w:val="000000"/>
                <w:lang w:val="lt-LT"/>
              </w:rPr>
              <w:t xml:space="preserve"> a, b, d punktai);</w:t>
            </w:r>
            <w:r w:rsidR="008A30AD">
              <w:rPr>
                <w:color w:val="000000"/>
                <w:lang w:val="lt-LT"/>
              </w:rPr>
              <w:t xml:space="preserve">  </w:t>
            </w:r>
          </w:p>
          <w:p w14:paraId="5A4BEBDD" w14:textId="432B12B5" w:rsidR="00A77B3E" w:rsidRPr="009201B2" w:rsidRDefault="00003C2A" w:rsidP="004A5EA0">
            <w:pPr>
              <w:spacing w:before="100"/>
              <w:jc w:val="both"/>
              <w:rPr>
                <w:color w:val="000000"/>
                <w:lang w:val="lt-LT"/>
              </w:rPr>
            </w:pPr>
            <w:r w:rsidRPr="009201B2">
              <w:rPr>
                <w:color w:val="000000"/>
                <w:lang w:val="lt-LT"/>
              </w:rPr>
              <w:t xml:space="preserve">- </w:t>
            </w:r>
            <w:r w:rsidR="008A30AD" w:rsidRPr="008A30AD">
              <w:rPr>
                <w:color w:val="000000"/>
                <w:lang w:val="lt-LT"/>
              </w:rPr>
              <w:t>atitinkamų teisėsaugos ir teisminių institucijų bei administracinių agentūrų darbuotojų ir ekspertų švietimas ir mokymas, atsižvelgiant į operatyvinius poreikius ir rizikos analizę, bendradarbiaujant su CEPOL ir, kai taikoma, Europos teisėjų mokymo tinklu, įskaitant švietimą ir mokymą apie prevencijos politiką, ypatingą dėmesį skiriant pagrindinėms teisėms ir nediskriminavimui (II priedo 3 dalies a, b, d punktai);</w:t>
            </w:r>
          </w:p>
          <w:p w14:paraId="2DA474A6" w14:textId="0EF48390" w:rsidR="00A77B3E" w:rsidRPr="009201B2" w:rsidRDefault="00003C2A" w:rsidP="004A5EA0">
            <w:pPr>
              <w:spacing w:before="100"/>
              <w:jc w:val="both"/>
              <w:rPr>
                <w:color w:val="000000"/>
                <w:lang w:val="lt-LT"/>
              </w:rPr>
            </w:pPr>
            <w:r w:rsidRPr="009201B2">
              <w:rPr>
                <w:color w:val="000000"/>
                <w:lang w:val="lt-LT"/>
              </w:rPr>
              <w:t xml:space="preserve">- </w:t>
            </w:r>
            <w:r w:rsidR="008A30AD" w:rsidRPr="008A30AD">
              <w:rPr>
                <w:color w:val="000000"/>
                <w:lang w:val="lt-LT"/>
              </w:rPr>
              <w:t xml:space="preserve">bendradarbiavimas su privačiuoju sektoriumi, pavyzdžiui, kovojant su elektroniniais nusikaltimais, siekiant stiprinti pasitikėjimą ir gerinti koordinavimą, nenumatytų atvejų planavimą, keitimąsi informacija </w:t>
            </w:r>
            <w:r w:rsidR="008A30AD" w:rsidRPr="008A30AD">
              <w:rPr>
                <w:color w:val="000000"/>
                <w:lang w:val="lt-LT"/>
              </w:rPr>
              <w:lastRenderedPageBreak/>
              <w:t>ir geriausios praktikos pavyzdžiais bei jų sklaidą tarp viešųjų ir privačiųjų subjektų, įskaitant viešųjų erdvių ir ypatingos svarbos infrastruktūros objektų apsaugą (II priedo 3 dalies a, b, d punktai);</w:t>
            </w:r>
          </w:p>
          <w:p w14:paraId="191BC558" w14:textId="7764F8AF" w:rsidR="00A77B3E" w:rsidRPr="009201B2" w:rsidRDefault="00003C2A" w:rsidP="004A5EA0">
            <w:pPr>
              <w:spacing w:before="100"/>
              <w:jc w:val="both"/>
              <w:rPr>
                <w:color w:val="000000"/>
                <w:lang w:val="lt-LT"/>
              </w:rPr>
            </w:pPr>
            <w:r w:rsidRPr="009201B2">
              <w:rPr>
                <w:color w:val="000000"/>
                <w:lang w:val="lt-LT"/>
              </w:rPr>
              <w:t xml:space="preserve">- </w:t>
            </w:r>
            <w:r w:rsidR="008A30AD" w:rsidRPr="008A30AD">
              <w:rPr>
                <w:color w:val="000000"/>
                <w:lang w:val="lt-LT"/>
              </w:rPr>
              <w:t xml:space="preserve">veiksmai, kuriais bendruomenėms suteikiama galimybė kurti vietos metodus ir prevencijos politiką, taip pat suinteresuotųjų subjektų ir plačiosios visuomenės informuotumo didinimo ir komunikacijos apie Sąjungos saugumo politiką veikla (II </w:t>
            </w:r>
            <w:r w:rsidR="008A30AD">
              <w:rPr>
                <w:color w:val="000000"/>
                <w:lang w:val="lt-LT"/>
              </w:rPr>
              <w:t xml:space="preserve">priedo </w:t>
            </w:r>
            <w:r w:rsidR="008A30AD" w:rsidRPr="008A30AD">
              <w:rPr>
                <w:color w:val="000000"/>
                <w:lang w:val="lt-LT"/>
              </w:rPr>
              <w:t xml:space="preserve">3 </w:t>
            </w:r>
            <w:r w:rsidR="008A30AD">
              <w:rPr>
                <w:color w:val="000000"/>
                <w:lang w:val="lt-LT"/>
              </w:rPr>
              <w:t>dalies</w:t>
            </w:r>
            <w:r w:rsidR="008A30AD" w:rsidRPr="008A30AD">
              <w:rPr>
                <w:color w:val="000000"/>
                <w:lang w:val="lt-LT"/>
              </w:rPr>
              <w:t xml:space="preserve"> a, b, d punktai</w:t>
            </w:r>
            <w:r w:rsidR="008A30AD">
              <w:rPr>
                <w:color w:val="000000"/>
                <w:lang w:val="lt-LT"/>
              </w:rPr>
              <w:t>)</w:t>
            </w:r>
            <w:r w:rsidRPr="009201B2">
              <w:rPr>
                <w:color w:val="000000"/>
                <w:lang w:val="lt-LT"/>
              </w:rPr>
              <w:t>;</w:t>
            </w:r>
          </w:p>
          <w:p w14:paraId="596E8DEB" w14:textId="4FF2854C" w:rsidR="00A77B3E" w:rsidRPr="009201B2" w:rsidRDefault="00003C2A" w:rsidP="004A5EA0">
            <w:pPr>
              <w:spacing w:before="100"/>
              <w:jc w:val="both"/>
              <w:rPr>
                <w:color w:val="000000"/>
                <w:lang w:val="lt-LT"/>
              </w:rPr>
            </w:pPr>
            <w:r w:rsidRPr="009201B2">
              <w:rPr>
                <w:color w:val="000000"/>
                <w:lang w:val="lt-LT"/>
              </w:rPr>
              <w:t xml:space="preserve">- </w:t>
            </w:r>
            <w:r w:rsidR="008A30AD" w:rsidRPr="008A30AD">
              <w:rPr>
                <w:color w:val="000000"/>
                <w:lang w:val="lt-LT"/>
              </w:rPr>
              <w:t xml:space="preserve">įrangos, transporto priemonių, ryšių sistemų ir su saugumu susijusių objektų finansavimas (II priedo 3 </w:t>
            </w:r>
            <w:r w:rsidR="008A30AD">
              <w:rPr>
                <w:color w:val="000000"/>
                <w:lang w:val="lt-LT"/>
              </w:rPr>
              <w:t>dalies</w:t>
            </w:r>
            <w:r w:rsidR="008A30AD" w:rsidRPr="008A30AD">
              <w:rPr>
                <w:color w:val="000000"/>
                <w:lang w:val="lt-LT"/>
              </w:rPr>
              <w:t xml:space="preserve"> a, b, d punktai)</w:t>
            </w:r>
            <w:r w:rsidRPr="009201B2">
              <w:rPr>
                <w:color w:val="000000"/>
                <w:lang w:val="lt-LT"/>
              </w:rPr>
              <w:t>.</w:t>
            </w:r>
          </w:p>
          <w:p w14:paraId="01475F1F" w14:textId="77777777" w:rsidR="00A77B3E" w:rsidRPr="009201B2" w:rsidRDefault="00A77B3E" w:rsidP="004A5EA0">
            <w:pPr>
              <w:spacing w:before="100"/>
              <w:jc w:val="both"/>
              <w:rPr>
                <w:color w:val="000000"/>
                <w:lang w:val="lt-LT"/>
              </w:rPr>
            </w:pPr>
          </w:p>
          <w:p w14:paraId="139F16C6" w14:textId="2291E995" w:rsidR="00A77B3E" w:rsidRPr="009201B2" w:rsidRDefault="008A30AD" w:rsidP="004A5EA0">
            <w:pPr>
              <w:spacing w:before="100"/>
              <w:jc w:val="both"/>
              <w:rPr>
                <w:color w:val="000000"/>
                <w:lang w:val="lt-LT"/>
              </w:rPr>
            </w:pPr>
            <w:r w:rsidRPr="008A30AD">
              <w:rPr>
                <w:color w:val="000000"/>
                <w:lang w:val="lt-LT"/>
              </w:rPr>
              <w:t>Programa bus pakankamai lanksti, kad būtų galima reaguoti į įvykius ir būsimus poreikius (pvz., naują ES politiką, reglamentus ir reikalavimus).</w:t>
            </w:r>
          </w:p>
        </w:tc>
      </w:tr>
    </w:tbl>
    <w:p w14:paraId="072792E3" w14:textId="77777777" w:rsidR="00A77B3E" w:rsidRPr="009201B2" w:rsidRDefault="00A77B3E">
      <w:pPr>
        <w:spacing w:before="100"/>
        <w:rPr>
          <w:color w:val="000000"/>
          <w:lang w:val="lt-LT"/>
        </w:rPr>
        <w:sectPr w:rsidR="00A77B3E" w:rsidRPr="009201B2">
          <w:headerReference w:type="even" r:id="rId42"/>
          <w:headerReference w:type="default" r:id="rId43"/>
          <w:footerReference w:type="even" r:id="rId44"/>
          <w:footerReference w:type="default" r:id="rId45"/>
          <w:headerReference w:type="first" r:id="rId46"/>
          <w:footerReference w:type="first" r:id="rId47"/>
          <w:pgSz w:w="11906" w:h="16838"/>
          <w:pgMar w:top="720" w:right="936" w:bottom="864" w:left="720" w:header="0" w:footer="72" w:gutter="0"/>
          <w:cols w:space="720"/>
          <w:noEndnote/>
          <w:docGrid w:linePitch="360"/>
        </w:sectPr>
      </w:pPr>
    </w:p>
    <w:p w14:paraId="143ABA13" w14:textId="77777777" w:rsidR="00A77B3E" w:rsidRPr="009201B2" w:rsidRDefault="00003C2A">
      <w:pPr>
        <w:spacing w:before="100"/>
        <w:rPr>
          <w:color w:val="000000"/>
          <w:lang w:val="lt-LT"/>
        </w:rPr>
      </w:pPr>
      <w:r w:rsidRPr="009201B2">
        <w:rPr>
          <w:color w:val="000000"/>
          <w:lang w:val="lt-LT"/>
        </w:rPr>
        <w:lastRenderedPageBreak/>
        <w:t>2.1. Konkretus tikslas 3. Nusikalstamumo prevencija ir kova su juo</w:t>
      </w:r>
    </w:p>
    <w:p w14:paraId="2C0139CE"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19" w:name="_Toc256000075"/>
      <w:r w:rsidRPr="009201B2">
        <w:rPr>
          <w:rFonts w:ascii="Times New Roman" w:hAnsi="Times New Roman" w:cs="Times New Roman"/>
          <w:b w:val="0"/>
          <w:color w:val="000000"/>
          <w:sz w:val="24"/>
          <w:lang w:val="lt-LT"/>
        </w:rPr>
        <w:t>2.1.2. Rodikliai</w:t>
      </w:r>
      <w:bookmarkEnd w:id="19"/>
    </w:p>
    <w:p w14:paraId="46135194"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6E2D6804" w14:textId="77777777" w:rsidR="00A77B3E" w:rsidRPr="009201B2" w:rsidRDefault="00003C2A">
      <w:pPr>
        <w:pStyle w:val="Antrat4"/>
        <w:spacing w:before="100" w:after="0"/>
        <w:rPr>
          <w:b w:val="0"/>
          <w:color w:val="000000"/>
          <w:sz w:val="24"/>
          <w:lang w:val="lt-LT"/>
        </w:rPr>
      </w:pPr>
      <w:bookmarkStart w:id="20" w:name="_Toc256000076"/>
      <w:r w:rsidRPr="009201B2">
        <w:rPr>
          <w:b w:val="0"/>
          <w:color w:val="000000"/>
          <w:sz w:val="24"/>
          <w:lang w:val="lt-LT"/>
        </w:rPr>
        <w:t>1 lentelė. Produkto rodikliai</w:t>
      </w:r>
      <w:bookmarkEnd w:id="20"/>
    </w:p>
    <w:p w14:paraId="5EFC45B5"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994"/>
        <w:gridCol w:w="1511"/>
        <w:gridCol w:w="1972"/>
        <w:gridCol w:w="2003"/>
      </w:tblGrid>
      <w:tr w:rsidR="00535D32" w:rsidRPr="009201B2" w14:paraId="59A99DD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0B0C18"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BB84E"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3A5C08"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E9749F" w14:textId="77777777" w:rsidR="00A77B3E" w:rsidRPr="009201B2" w:rsidRDefault="00003C2A">
            <w:pPr>
              <w:spacing w:before="100"/>
              <w:jc w:val="center"/>
              <w:rPr>
                <w:color w:val="000000"/>
                <w:sz w:val="20"/>
                <w:lang w:val="lt-LT"/>
              </w:rPr>
            </w:pPr>
            <w:r w:rsidRPr="009201B2">
              <w:rPr>
                <w:color w:val="000000"/>
                <w:sz w:val="20"/>
                <w:lang w:val="lt-LT"/>
              </w:rPr>
              <w:t>Tarpinė reikšmė (2024 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BF02C"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r>
      <w:tr w:rsidR="00535D32" w:rsidRPr="009201B2" w14:paraId="6A78E7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19942D" w14:textId="77777777" w:rsidR="00A77B3E" w:rsidRPr="009201B2" w:rsidRDefault="00003C2A">
            <w:pPr>
              <w:spacing w:before="100"/>
              <w:rPr>
                <w:color w:val="000000"/>
                <w:sz w:val="20"/>
                <w:lang w:val="lt-LT"/>
              </w:rPr>
            </w:pPr>
            <w:r w:rsidRPr="009201B2">
              <w:rPr>
                <w:color w:val="000000"/>
                <w:sz w:val="20"/>
                <w:lang w:val="lt-LT"/>
              </w:rPr>
              <w:t>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67655" w14:textId="77777777" w:rsidR="00A77B3E" w:rsidRPr="009201B2" w:rsidRDefault="00003C2A">
            <w:pPr>
              <w:spacing w:before="100"/>
              <w:rPr>
                <w:color w:val="000000"/>
                <w:sz w:val="20"/>
                <w:lang w:val="lt-LT"/>
              </w:rPr>
            </w:pPr>
            <w:r w:rsidRPr="009201B2">
              <w:rPr>
                <w:color w:val="000000"/>
                <w:sz w:val="20"/>
                <w:lang w:val="lt-LT"/>
              </w:rPr>
              <w:t xml:space="preserve">Mokymo veiklos dalyvių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06A1FA"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0BA7B" w14:textId="77777777" w:rsidR="00A77B3E" w:rsidRPr="009201B2" w:rsidRDefault="00003C2A">
            <w:pPr>
              <w:spacing w:before="100"/>
              <w:jc w:val="right"/>
              <w:rPr>
                <w:color w:val="000000"/>
                <w:sz w:val="20"/>
                <w:lang w:val="lt-LT"/>
              </w:rPr>
            </w:pPr>
            <w:r w:rsidRPr="009201B2">
              <w:rPr>
                <w:color w:val="000000"/>
                <w:sz w:val="20"/>
                <w:lang w:val="lt-LT"/>
              </w:rPr>
              <w:t>272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EBF2D" w14:textId="77777777" w:rsidR="00A77B3E" w:rsidRPr="009201B2" w:rsidRDefault="00003C2A">
            <w:pPr>
              <w:spacing w:before="100"/>
              <w:jc w:val="right"/>
              <w:rPr>
                <w:color w:val="000000"/>
                <w:sz w:val="20"/>
                <w:lang w:val="lt-LT"/>
              </w:rPr>
            </w:pPr>
            <w:r w:rsidRPr="009201B2">
              <w:rPr>
                <w:color w:val="000000"/>
                <w:sz w:val="20"/>
                <w:lang w:val="lt-LT"/>
              </w:rPr>
              <w:t>753</w:t>
            </w:r>
          </w:p>
        </w:tc>
      </w:tr>
      <w:tr w:rsidR="00535D32" w:rsidRPr="009201B2" w14:paraId="266DE7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5813FE" w14:textId="77777777" w:rsidR="00A77B3E" w:rsidRPr="009201B2" w:rsidRDefault="00003C2A">
            <w:pPr>
              <w:spacing w:before="100"/>
              <w:rPr>
                <w:color w:val="000000"/>
                <w:sz w:val="20"/>
                <w:lang w:val="lt-LT"/>
              </w:rPr>
            </w:pPr>
            <w:r w:rsidRPr="009201B2">
              <w:rPr>
                <w:color w:val="000000"/>
                <w:sz w:val="20"/>
                <w:lang w:val="lt-LT"/>
              </w:rPr>
              <w:t>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03D635" w14:textId="77777777" w:rsidR="00A77B3E" w:rsidRPr="009201B2" w:rsidRDefault="00003C2A">
            <w:pPr>
              <w:spacing w:before="100"/>
              <w:rPr>
                <w:color w:val="000000"/>
                <w:sz w:val="20"/>
                <w:lang w:val="lt-LT"/>
              </w:rPr>
            </w:pPr>
            <w:r w:rsidRPr="009201B2">
              <w:rPr>
                <w:color w:val="000000"/>
                <w:sz w:val="20"/>
                <w:lang w:val="lt-LT"/>
              </w:rPr>
              <w:t xml:space="preserve">Mainų programų / seminarų / studijų vizitų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3D8E69"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8D4635" w14:textId="77777777" w:rsidR="00A77B3E" w:rsidRPr="009201B2" w:rsidRDefault="00003C2A">
            <w:pPr>
              <w:spacing w:before="100"/>
              <w:jc w:val="right"/>
              <w:rPr>
                <w:color w:val="000000"/>
                <w:sz w:val="20"/>
                <w:lang w:val="lt-LT"/>
              </w:rPr>
            </w:pPr>
            <w:r w:rsidRPr="009201B2">
              <w:rPr>
                <w:color w:val="000000"/>
                <w:sz w:val="20"/>
                <w:lang w:val="lt-L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B46F5" w14:textId="77777777" w:rsidR="00A77B3E" w:rsidRPr="009201B2" w:rsidRDefault="00003C2A">
            <w:pPr>
              <w:spacing w:before="100"/>
              <w:jc w:val="right"/>
              <w:rPr>
                <w:color w:val="000000"/>
                <w:sz w:val="20"/>
                <w:lang w:val="lt-LT"/>
              </w:rPr>
            </w:pPr>
            <w:r w:rsidRPr="009201B2">
              <w:rPr>
                <w:color w:val="000000"/>
                <w:sz w:val="20"/>
                <w:lang w:val="lt-LT"/>
              </w:rPr>
              <w:t>18</w:t>
            </w:r>
          </w:p>
        </w:tc>
      </w:tr>
      <w:tr w:rsidR="00535D32" w:rsidRPr="009201B2" w14:paraId="508E3B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59E7D" w14:textId="77777777" w:rsidR="00A77B3E" w:rsidRPr="009201B2" w:rsidRDefault="00003C2A">
            <w:pPr>
              <w:spacing w:before="100"/>
              <w:rPr>
                <w:color w:val="000000"/>
                <w:sz w:val="20"/>
                <w:lang w:val="lt-LT"/>
              </w:rPr>
            </w:pPr>
            <w:r w:rsidRPr="009201B2">
              <w:rPr>
                <w:color w:val="000000"/>
                <w:sz w:val="20"/>
                <w:lang w:val="lt-LT"/>
              </w:rPr>
              <w:t>O.3.3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AE0E95" w14:textId="77777777" w:rsidR="00A77B3E" w:rsidRPr="009201B2" w:rsidRDefault="00003C2A">
            <w:pPr>
              <w:spacing w:before="100"/>
              <w:rPr>
                <w:color w:val="000000"/>
                <w:sz w:val="20"/>
                <w:lang w:val="lt-LT"/>
              </w:rPr>
            </w:pPr>
            <w:r w:rsidRPr="009201B2">
              <w:rPr>
                <w:color w:val="000000"/>
                <w:sz w:val="20"/>
                <w:lang w:val="lt-LT"/>
              </w:rPr>
              <w:t xml:space="preserve">Įsigytos įrangos vienetų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72368F"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A3C9EA"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5F82B" w14:textId="77777777" w:rsidR="00A77B3E" w:rsidRPr="009201B2" w:rsidRDefault="00003C2A">
            <w:pPr>
              <w:spacing w:before="100"/>
              <w:jc w:val="right"/>
              <w:rPr>
                <w:color w:val="000000"/>
                <w:sz w:val="20"/>
                <w:lang w:val="lt-LT"/>
              </w:rPr>
            </w:pPr>
            <w:r w:rsidRPr="009201B2">
              <w:rPr>
                <w:color w:val="000000"/>
                <w:sz w:val="20"/>
                <w:lang w:val="lt-LT"/>
              </w:rPr>
              <w:t>487</w:t>
            </w:r>
          </w:p>
        </w:tc>
      </w:tr>
      <w:tr w:rsidR="00535D32" w:rsidRPr="009201B2" w14:paraId="36CF85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FFD1D" w14:textId="77777777" w:rsidR="00A77B3E" w:rsidRPr="009201B2" w:rsidRDefault="00003C2A">
            <w:pPr>
              <w:spacing w:before="100"/>
              <w:rPr>
                <w:color w:val="000000"/>
                <w:sz w:val="20"/>
                <w:lang w:val="lt-LT"/>
              </w:rPr>
            </w:pPr>
            <w:r w:rsidRPr="009201B2">
              <w:rPr>
                <w:color w:val="000000"/>
                <w:sz w:val="20"/>
                <w:lang w:val="lt-LT"/>
              </w:rPr>
              <w:t>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E3958" w14:textId="77777777" w:rsidR="00A77B3E" w:rsidRPr="009201B2" w:rsidRDefault="00003C2A">
            <w:pPr>
              <w:spacing w:before="100"/>
              <w:rPr>
                <w:color w:val="000000"/>
                <w:sz w:val="20"/>
                <w:lang w:val="lt-LT"/>
              </w:rPr>
            </w:pPr>
            <w:r w:rsidRPr="009201B2">
              <w:rPr>
                <w:color w:val="000000"/>
                <w:sz w:val="20"/>
                <w:lang w:val="lt-LT"/>
              </w:rPr>
              <w:t xml:space="preserve">Įsigytų transporto priemonių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ACFE4"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563F75"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D5F58" w14:textId="77777777" w:rsidR="00A77B3E" w:rsidRPr="009201B2" w:rsidRDefault="00003C2A">
            <w:pPr>
              <w:spacing w:before="100"/>
              <w:jc w:val="right"/>
              <w:rPr>
                <w:color w:val="000000"/>
                <w:sz w:val="20"/>
                <w:lang w:val="lt-LT"/>
              </w:rPr>
            </w:pPr>
            <w:r w:rsidRPr="009201B2">
              <w:rPr>
                <w:color w:val="000000"/>
                <w:sz w:val="20"/>
                <w:lang w:val="lt-LT"/>
              </w:rPr>
              <w:t>2</w:t>
            </w:r>
          </w:p>
        </w:tc>
      </w:tr>
      <w:tr w:rsidR="00535D32" w:rsidRPr="009201B2" w14:paraId="0895EA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513EC5" w14:textId="77777777" w:rsidR="00A77B3E" w:rsidRPr="009201B2" w:rsidRDefault="00003C2A">
            <w:pPr>
              <w:spacing w:before="100"/>
              <w:rPr>
                <w:color w:val="000000"/>
                <w:sz w:val="20"/>
                <w:lang w:val="lt-LT"/>
              </w:rPr>
            </w:pPr>
            <w:r w:rsidRPr="009201B2">
              <w:rPr>
                <w:color w:val="000000"/>
                <w:sz w:val="20"/>
                <w:lang w:val="lt-LT"/>
              </w:rPr>
              <w:t>O.3.5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E1E077" w14:textId="77777777" w:rsidR="00A77B3E" w:rsidRPr="009201B2" w:rsidRDefault="00003C2A">
            <w:pPr>
              <w:spacing w:before="100"/>
              <w:rPr>
                <w:color w:val="000000"/>
                <w:sz w:val="20"/>
                <w:lang w:val="lt-LT"/>
              </w:rPr>
            </w:pPr>
            <w:r w:rsidRPr="009201B2">
              <w:rPr>
                <w:color w:val="000000"/>
                <w:sz w:val="20"/>
                <w:lang w:val="lt-LT"/>
              </w:rPr>
              <w:t xml:space="preserve">Sukurtų / įsigytų / įsigytų / atnaujintų infrastruktūros / su saugumu susijusių įrenginių / įrankių / mechanizmų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CE0FE"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0026BE"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DB4940" w14:textId="77777777" w:rsidR="00A77B3E" w:rsidRPr="009201B2" w:rsidRDefault="00003C2A">
            <w:pPr>
              <w:spacing w:before="100"/>
              <w:jc w:val="right"/>
              <w:rPr>
                <w:color w:val="000000"/>
                <w:sz w:val="20"/>
                <w:lang w:val="lt-LT"/>
              </w:rPr>
            </w:pPr>
            <w:r w:rsidRPr="009201B2">
              <w:rPr>
                <w:color w:val="000000"/>
                <w:sz w:val="20"/>
                <w:lang w:val="lt-LT"/>
              </w:rPr>
              <w:t>0</w:t>
            </w:r>
          </w:p>
        </w:tc>
      </w:tr>
      <w:tr w:rsidR="00535D32" w:rsidRPr="009201B2" w14:paraId="14DB78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87675" w14:textId="77777777" w:rsidR="00A77B3E" w:rsidRPr="009201B2" w:rsidRDefault="00003C2A">
            <w:pPr>
              <w:spacing w:before="100"/>
              <w:rPr>
                <w:color w:val="000000"/>
                <w:sz w:val="20"/>
                <w:lang w:val="lt-LT"/>
              </w:rPr>
            </w:pPr>
            <w:r w:rsidRPr="009201B2">
              <w:rPr>
                <w:color w:val="000000"/>
                <w:sz w:val="20"/>
                <w:lang w:val="lt-LT"/>
              </w:rPr>
              <w:t>O.3.6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F56535" w14:textId="77777777" w:rsidR="00A77B3E" w:rsidRPr="009201B2" w:rsidRDefault="00003C2A">
            <w:pPr>
              <w:spacing w:before="100"/>
              <w:rPr>
                <w:color w:val="000000"/>
                <w:sz w:val="20"/>
                <w:lang w:val="lt-LT"/>
              </w:rPr>
            </w:pPr>
            <w:r w:rsidRPr="009201B2">
              <w:rPr>
                <w:color w:val="000000"/>
                <w:sz w:val="20"/>
                <w:lang w:val="lt-LT"/>
              </w:rPr>
              <w:t xml:space="preserve">Nusikalstamumo prevencijos projektų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388217"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E36C0B"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4CAF8" w14:textId="77777777" w:rsidR="00A77B3E" w:rsidRPr="009201B2" w:rsidRDefault="00003C2A">
            <w:pPr>
              <w:spacing w:before="100"/>
              <w:jc w:val="right"/>
              <w:rPr>
                <w:color w:val="000000"/>
                <w:sz w:val="20"/>
                <w:lang w:val="lt-LT"/>
              </w:rPr>
            </w:pPr>
            <w:r w:rsidRPr="009201B2">
              <w:rPr>
                <w:color w:val="000000"/>
                <w:sz w:val="20"/>
                <w:lang w:val="lt-LT"/>
              </w:rPr>
              <w:t>0</w:t>
            </w:r>
          </w:p>
        </w:tc>
      </w:tr>
      <w:tr w:rsidR="00535D32" w:rsidRPr="009201B2" w14:paraId="1A5F7C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A293D0" w14:textId="77777777" w:rsidR="00A77B3E" w:rsidRPr="009201B2" w:rsidRDefault="00003C2A">
            <w:pPr>
              <w:spacing w:before="100"/>
              <w:rPr>
                <w:color w:val="000000"/>
                <w:sz w:val="20"/>
                <w:lang w:val="lt-LT"/>
              </w:rPr>
            </w:pPr>
            <w:r w:rsidRPr="009201B2">
              <w:rPr>
                <w:color w:val="000000"/>
                <w:sz w:val="20"/>
                <w:lang w:val="lt-LT"/>
              </w:rPr>
              <w:t>O.3.7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0D5FBC" w14:textId="77777777" w:rsidR="00A77B3E" w:rsidRPr="009201B2" w:rsidRDefault="00003C2A">
            <w:pPr>
              <w:spacing w:before="100"/>
              <w:rPr>
                <w:color w:val="000000"/>
                <w:sz w:val="20"/>
                <w:lang w:val="lt-LT"/>
              </w:rPr>
            </w:pPr>
            <w:r w:rsidRPr="009201B2">
              <w:rPr>
                <w:color w:val="000000"/>
                <w:sz w:val="20"/>
                <w:lang w:val="lt-LT"/>
              </w:rPr>
              <w:t xml:space="preserve">Projektų, skirtų padėti nusikaltimų aukoms,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1EB2F3"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C3CD4C"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A7BF38" w14:textId="77777777" w:rsidR="00A77B3E" w:rsidRPr="009201B2" w:rsidRDefault="00003C2A">
            <w:pPr>
              <w:spacing w:before="100"/>
              <w:jc w:val="right"/>
              <w:rPr>
                <w:color w:val="000000"/>
                <w:sz w:val="20"/>
                <w:lang w:val="lt-LT"/>
              </w:rPr>
            </w:pPr>
            <w:r w:rsidRPr="009201B2">
              <w:rPr>
                <w:color w:val="000000"/>
                <w:sz w:val="20"/>
                <w:lang w:val="lt-LT"/>
              </w:rPr>
              <w:t>0</w:t>
            </w:r>
          </w:p>
        </w:tc>
      </w:tr>
      <w:tr w:rsidR="00535D32" w:rsidRPr="009201B2" w14:paraId="17A9A9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1195F" w14:textId="77777777" w:rsidR="00A77B3E" w:rsidRPr="009201B2" w:rsidRDefault="00003C2A">
            <w:pPr>
              <w:spacing w:before="100"/>
              <w:rPr>
                <w:color w:val="000000"/>
                <w:sz w:val="20"/>
                <w:lang w:val="lt-LT"/>
              </w:rPr>
            </w:pPr>
            <w:r w:rsidRPr="009201B2">
              <w:rPr>
                <w:color w:val="000000"/>
                <w:sz w:val="20"/>
                <w:lang w:val="lt-LT"/>
              </w:rPr>
              <w:t>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A74B91" w14:textId="77777777" w:rsidR="00A77B3E" w:rsidRPr="009201B2" w:rsidRDefault="00003C2A">
            <w:pPr>
              <w:spacing w:before="100"/>
              <w:rPr>
                <w:color w:val="000000"/>
                <w:sz w:val="20"/>
                <w:lang w:val="lt-LT"/>
              </w:rPr>
            </w:pPr>
            <w:r w:rsidRPr="009201B2">
              <w:rPr>
                <w:color w:val="000000"/>
                <w:sz w:val="20"/>
                <w:lang w:val="lt-LT"/>
              </w:rPr>
              <w:t xml:space="preserve">Nusikaltimų aukų, kurioms suteikta pagalba,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0AF5C2" w14:textId="77777777" w:rsidR="00A77B3E" w:rsidRPr="009201B2" w:rsidRDefault="00003C2A">
            <w:pPr>
              <w:spacing w:before="100"/>
              <w:rPr>
                <w:color w:val="000000"/>
                <w:sz w:val="20"/>
                <w:lang w:val="lt-LT"/>
              </w:rPr>
            </w:pPr>
            <w:r w:rsidRPr="009201B2">
              <w:rPr>
                <w:color w:val="000000"/>
                <w:sz w:val="20"/>
                <w:lang w:val="lt-LT"/>
              </w:rPr>
              <w:t>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2E587" w14:textId="77777777" w:rsidR="00A77B3E" w:rsidRPr="009201B2" w:rsidRDefault="00003C2A">
            <w:pPr>
              <w:spacing w:before="100"/>
              <w:jc w:val="right"/>
              <w:rPr>
                <w:color w:val="000000"/>
                <w:sz w:val="20"/>
                <w:lang w:val="lt-LT"/>
              </w:rPr>
            </w:pPr>
            <w:r w:rsidRPr="009201B2">
              <w:rPr>
                <w:color w:val="000000"/>
                <w:sz w:val="20"/>
                <w:lang w:val="lt-L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C1B8C" w14:textId="77777777" w:rsidR="00A77B3E" w:rsidRPr="009201B2" w:rsidRDefault="00003C2A">
            <w:pPr>
              <w:spacing w:before="100"/>
              <w:jc w:val="right"/>
              <w:rPr>
                <w:color w:val="000000"/>
                <w:sz w:val="20"/>
                <w:lang w:val="lt-LT"/>
              </w:rPr>
            </w:pPr>
            <w:r w:rsidRPr="009201B2">
              <w:rPr>
                <w:color w:val="000000"/>
                <w:sz w:val="20"/>
                <w:lang w:val="lt-LT"/>
              </w:rPr>
              <w:t>0</w:t>
            </w:r>
          </w:p>
        </w:tc>
      </w:tr>
    </w:tbl>
    <w:p w14:paraId="62E59118" w14:textId="77777777" w:rsidR="00A77B3E" w:rsidRPr="009201B2" w:rsidRDefault="00003C2A">
      <w:pPr>
        <w:spacing w:before="100"/>
        <w:rPr>
          <w:color w:val="000000"/>
          <w:lang w:val="lt-LT"/>
        </w:rPr>
      </w:pPr>
      <w:r w:rsidRPr="009201B2">
        <w:rPr>
          <w:color w:val="000000"/>
          <w:sz w:val="20"/>
          <w:lang w:val="lt-LT"/>
        </w:rPr>
        <w:br w:type="page"/>
      </w:r>
      <w:r w:rsidRPr="009201B2">
        <w:rPr>
          <w:color w:val="000000"/>
          <w:lang w:val="lt-LT"/>
        </w:rPr>
        <w:lastRenderedPageBreak/>
        <w:t>2.1. Konkretus tikslas 3. Nusikalstamumo prevencija ir kova su juo</w:t>
      </w:r>
    </w:p>
    <w:p w14:paraId="1BFC2674" w14:textId="77777777" w:rsidR="00A77B3E" w:rsidRPr="009201B2" w:rsidRDefault="00003C2A">
      <w:pPr>
        <w:spacing w:before="100"/>
        <w:rPr>
          <w:color w:val="000000"/>
          <w:sz w:val="0"/>
          <w:lang w:val="lt-LT"/>
        </w:rPr>
      </w:pPr>
      <w:r w:rsidRPr="009201B2">
        <w:rPr>
          <w:color w:val="000000"/>
          <w:lang w:val="lt-LT"/>
        </w:rPr>
        <w:t>2.1.2. Rodikliai</w:t>
      </w:r>
    </w:p>
    <w:p w14:paraId="335BF6B9" w14:textId="77777777" w:rsidR="00A77B3E" w:rsidRPr="009201B2" w:rsidRDefault="00003C2A">
      <w:pPr>
        <w:spacing w:before="100"/>
        <w:rPr>
          <w:color w:val="000000"/>
          <w:sz w:val="12"/>
          <w:lang w:val="lt-LT"/>
        </w:rPr>
      </w:pPr>
      <w:r w:rsidRPr="009201B2">
        <w:rPr>
          <w:color w:val="000000"/>
          <w:lang w:val="lt-LT"/>
        </w:rPr>
        <w:t>Nuoroda: BNR 22 straipsnio 4 dalies e punktas</w:t>
      </w:r>
    </w:p>
    <w:p w14:paraId="6A14F517" w14:textId="77777777" w:rsidR="00A77B3E" w:rsidRPr="009201B2" w:rsidRDefault="00003C2A">
      <w:pPr>
        <w:pStyle w:val="Antrat4"/>
        <w:spacing w:before="100" w:after="0"/>
        <w:rPr>
          <w:b w:val="0"/>
          <w:color w:val="000000"/>
          <w:sz w:val="24"/>
          <w:lang w:val="lt-LT"/>
        </w:rPr>
      </w:pPr>
      <w:bookmarkStart w:id="21" w:name="_Toc256000077"/>
      <w:r w:rsidRPr="009201B2">
        <w:rPr>
          <w:b w:val="0"/>
          <w:color w:val="000000"/>
          <w:sz w:val="24"/>
          <w:lang w:val="lt-LT"/>
        </w:rPr>
        <w:t>2 lentelė. Rezultato rodikliai</w:t>
      </w:r>
      <w:bookmarkEnd w:id="21"/>
    </w:p>
    <w:p w14:paraId="410B640C"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535D32" w:rsidRPr="009201B2" w14:paraId="757C7EF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A0164" w14:textId="77777777" w:rsidR="00A77B3E" w:rsidRPr="009201B2" w:rsidRDefault="00003C2A">
            <w:pPr>
              <w:spacing w:before="100"/>
              <w:jc w:val="center"/>
              <w:rPr>
                <w:color w:val="000000"/>
                <w:sz w:val="20"/>
                <w:lang w:val="lt-LT"/>
              </w:rPr>
            </w:pPr>
            <w:r w:rsidRPr="009201B2">
              <w:rPr>
                <w:color w:val="000000"/>
                <w:sz w:val="20"/>
                <w:lang w:val="lt-LT"/>
              </w:rPr>
              <w:t>Identifikacinis kodas</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E43BC9" w14:textId="77777777" w:rsidR="00A77B3E" w:rsidRPr="009201B2" w:rsidRDefault="00003C2A">
            <w:pPr>
              <w:spacing w:before="100"/>
              <w:jc w:val="center"/>
              <w:rPr>
                <w:color w:val="000000"/>
                <w:sz w:val="20"/>
                <w:lang w:val="lt-LT"/>
              </w:rPr>
            </w:pPr>
            <w:r w:rsidRPr="009201B2">
              <w:rPr>
                <w:color w:val="000000"/>
                <w:sz w:val="20"/>
                <w:lang w:val="lt-LT"/>
              </w:rPr>
              <w:t>Rodiklis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D65B92" w14:textId="77777777" w:rsidR="00A77B3E" w:rsidRPr="009201B2" w:rsidRDefault="00003C2A">
            <w:pPr>
              <w:spacing w:before="100"/>
              <w:jc w:val="center"/>
              <w:rPr>
                <w:color w:val="000000"/>
                <w:sz w:val="20"/>
                <w:lang w:val="lt-LT"/>
              </w:rPr>
            </w:pPr>
            <w:r w:rsidRPr="009201B2">
              <w:rPr>
                <w:color w:val="000000"/>
                <w:sz w:val="20"/>
                <w:lang w:val="lt-LT"/>
              </w:rPr>
              <w:t>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3C9CE" w14:textId="77777777" w:rsidR="00A77B3E" w:rsidRPr="009201B2" w:rsidRDefault="00003C2A">
            <w:pPr>
              <w:spacing w:before="100"/>
              <w:jc w:val="center"/>
              <w:rPr>
                <w:color w:val="000000"/>
                <w:sz w:val="20"/>
                <w:lang w:val="lt-LT"/>
              </w:rPr>
            </w:pPr>
            <w:r w:rsidRPr="009201B2">
              <w:rPr>
                <w:color w:val="000000"/>
                <w:sz w:val="20"/>
                <w:lang w:val="lt-LT"/>
              </w:rPr>
              <w:t>Pradinė reikšmė</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E1AE8B" w14:textId="77777777" w:rsidR="00A77B3E" w:rsidRPr="009201B2" w:rsidRDefault="00003C2A">
            <w:pPr>
              <w:spacing w:before="100"/>
              <w:jc w:val="center"/>
              <w:rPr>
                <w:color w:val="000000"/>
                <w:sz w:val="20"/>
                <w:lang w:val="lt-LT"/>
              </w:rPr>
            </w:pPr>
            <w:r w:rsidRPr="009201B2">
              <w:rPr>
                <w:color w:val="000000"/>
                <w:sz w:val="20"/>
                <w:lang w:val="lt-LT"/>
              </w:rPr>
              <w:t>Pradinės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1C1A4" w14:textId="77777777" w:rsidR="00A77B3E" w:rsidRPr="009201B2" w:rsidRDefault="00003C2A">
            <w:pPr>
              <w:spacing w:before="100"/>
              <w:jc w:val="center"/>
              <w:rPr>
                <w:color w:val="000000"/>
                <w:sz w:val="20"/>
                <w:lang w:val="lt-LT"/>
              </w:rPr>
            </w:pPr>
            <w:r w:rsidRPr="009201B2">
              <w:rPr>
                <w:color w:val="000000"/>
                <w:sz w:val="20"/>
                <w:lang w:val="lt-LT"/>
              </w:rPr>
              <w:t>Ataskaitiniai metai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9EA4CB" w14:textId="77777777" w:rsidR="00A77B3E" w:rsidRPr="009201B2" w:rsidRDefault="00003C2A">
            <w:pPr>
              <w:spacing w:before="100"/>
              <w:jc w:val="center"/>
              <w:rPr>
                <w:color w:val="000000"/>
                <w:sz w:val="20"/>
                <w:lang w:val="lt-LT"/>
              </w:rPr>
            </w:pPr>
            <w:r w:rsidRPr="009201B2">
              <w:rPr>
                <w:color w:val="000000"/>
                <w:sz w:val="20"/>
                <w:lang w:val="lt-LT"/>
              </w:rPr>
              <w:t>Siektina reikšmė (2029 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24CF05" w14:textId="77777777" w:rsidR="00A77B3E" w:rsidRPr="009201B2" w:rsidRDefault="00003C2A">
            <w:pPr>
              <w:spacing w:before="100"/>
              <w:jc w:val="center"/>
              <w:rPr>
                <w:color w:val="000000"/>
                <w:sz w:val="20"/>
                <w:lang w:val="lt-LT"/>
              </w:rPr>
            </w:pPr>
            <w:r w:rsidRPr="009201B2">
              <w:rPr>
                <w:color w:val="000000"/>
                <w:sz w:val="20"/>
                <w:lang w:val="lt-LT"/>
              </w:rPr>
              <w:t>Galutinės skirtas reikšmės matavimo vienetas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6D366" w14:textId="77777777" w:rsidR="00A77B3E" w:rsidRPr="009201B2" w:rsidRDefault="00003C2A">
            <w:pPr>
              <w:spacing w:before="100"/>
              <w:jc w:val="center"/>
              <w:rPr>
                <w:color w:val="000000"/>
                <w:sz w:val="20"/>
                <w:lang w:val="lt-LT"/>
              </w:rPr>
            </w:pPr>
            <w:r w:rsidRPr="009201B2">
              <w:rPr>
                <w:color w:val="000000"/>
                <w:sz w:val="20"/>
                <w:lang w:val="lt-LT"/>
              </w:rPr>
              <w:t>Duomenų šaltinis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8CF11" w14:textId="77777777" w:rsidR="00A77B3E" w:rsidRPr="009201B2" w:rsidRDefault="00003C2A">
            <w:pPr>
              <w:spacing w:before="100"/>
              <w:rPr>
                <w:color w:val="000000"/>
                <w:sz w:val="20"/>
                <w:lang w:val="lt-LT"/>
              </w:rPr>
            </w:pPr>
            <w:r w:rsidRPr="009201B2">
              <w:rPr>
                <w:color w:val="000000"/>
                <w:sz w:val="20"/>
                <w:lang w:val="lt-LT"/>
              </w:rPr>
              <w:t>Pastabos</w:t>
            </w:r>
          </w:p>
        </w:tc>
      </w:tr>
      <w:tr w:rsidR="00535D32" w:rsidRPr="009201B2" w14:paraId="77960B7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EAD21" w14:textId="77777777" w:rsidR="00A77B3E" w:rsidRPr="009201B2" w:rsidRDefault="00003C2A">
            <w:pPr>
              <w:spacing w:before="100"/>
              <w:rPr>
                <w:color w:val="000000"/>
                <w:sz w:val="20"/>
                <w:lang w:val="lt-LT"/>
              </w:rPr>
            </w:pPr>
            <w:r w:rsidRPr="009201B2">
              <w:rPr>
                <w:color w:val="000000"/>
                <w:sz w:val="20"/>
                <w:lang w:val="lt-LT"/>
              </w:rPr>
              <w:t>R.3.9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4B336" w14:textId="77777777" w:rsidR="00A77B3E" w:rsidRPr="009201B2" w:rsidRDefault="00003C2A">
            <w:pPr>
              <w:spacing w:before="100"/>
              <w:rPr>
                <w:color w:val="000000"/>
                <w:sz w:val="20"/>
                <w:lang w:val="lt-LT"/>
              </w:rPr>
            </w:pPr>
            <w:r w:rsidRPr="009201B2">
              <w:rPr>
                <w:color w:val="000000"/>
                <w:sz w:val="20"/>
                <w:lang w:val="lt-LT"/>
              </w:rPr>
              <w:t>Parengtų ir (arba) išplėtotų radikalizacijos prevencijos iniciatyvų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C11D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5E657"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23AAC"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1B29F"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E6B4F"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77E9A"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0D009"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9A6EF" w14:textId="77777777" w:rsidR="00A77B3E" w:rsidRPr="009201B2" w:rsidRDefault="00A77B3E">
            <w:pPr>
              <w:spacing w:before="100"/>
              <w:rPr>
                <w:color w:val="000000"/>
                <w:sz w:val="20"/>
                <w:lang w:val="lt-LT"/>
              </w:rPr>
            </w:pPr>
          </w:p>
        </w:tc>
      </w:tr>
      <w:tr w:rsidR="00535D32" w:rsidRPr="009201B2" w14:paraId="4BD23C7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2E31E" w14:textId="77777777" w:rsidR="00A77B3E" w:rsidRPr="009201B2" w:rsidRDefault="00003C2A">
            <w:pPr>
              <w:spacing w:before="100"/>
              <w:rPr>
                <w:color w:val="000000"/>
                <w:sz w:val="20"/>
                <w:lang w:val="lt-LT"/>
              </w:rPr>
            </w:pPr>
            <w:r w:rsidRPr="009201B2">
              <w:rPr>
                <w:color w:val="000000"/>
                <w:sz w:val="20"/>
                <w:lang w:val="lt-LT"/>
              </w:rPr>
              <w:t>R.3.10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FDEB9" w14:textId="77777777" w:rsidR="00A77B3E" w:rsidRPr="009201B2" w:rsidRDefault="00003C2A">
            <w:pPr>
              <w:spacing w:before="100"/>
              <w:rPr>
                <w:color w:val="000000"/>
                <w:sz w:val="20"/>
                <w:lang w:val="lt-LT"/>
              </w:rPr>
            </w:pPr>
            <w:r w:rsidRPr="009201B2">
              <w:rPr>
                <w:color w:val="000000"/>
                <w:sz w:val="20"/>
                <w:lang w:val="lt-LT"/>
              </w:rPr>
              <w:t>Sukurtų ir (arba) išplėtotų iniciatyvų, skirtų liudytojų ir pranešėjų apsaugai ir (arba) paramai,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03D77"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2EB8C"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35A95"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70893"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0F8BF"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38F47"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C731B"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8A442" w14:textId="77777777" w:rsidR="00A77B3E" w:rsidRPr="009201B2" w:rsidRDefault="00A77B3E">
            <w:pPr>
              <w:spacing w:before="100"/>
              <w:rPr>
                <w:color w:val="000000"/>
                <w:sz w:val="20"/>
                <w:lang w:val="lt-LT"/>
              </w:rPr>
            </w:pPr>
          </w:p>
        </w:tc>
      </w:tr>
      <w:tr w:rsidR="00535D32" w:rsidRPr="009201B2" w14:paraId="14F2254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65574" w14:textId="77777777" w:rsidR="00A77B3E" w:rsidRPr="009201B2" w:rsidRDefault="00003C2A">
            <w:pPr>
              <w:spacing w:before="100"/>
              <w:rPr>
                <w:color w:val="000000"/>
                <w:sz w:val="20"/>
                <w:lang w:val="lt-LT"/>
              </w:rPr>
            </w:pPr>
            <w:r w:rsidRPr="009201B2">
              <w:rPr>
                <w:color w:val="000000"/>
                <w:sz w:val="20"/>
                <w:lang w:val="lt-LT"/>
              </w:rPr>
              <w:t>R.3.11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93421" w14:textId="77777777" w:rsidR="00A77B3E" w:rsidRPr="009201B2" w:rsidRDefault="00003C2A">
            <w:pPr>
              <w:spacing w:before="100"/>
              <w:rPr>
                <w:color w:val="000000"/>
                <w:sz w:val="20"/>
                <w:lang w:val="lt-LT"/>
              </w:rPr>
            </w:pPr>
            <w:r w:rsidRPr="009201B2">
              <w:rPr>
                <w:color w:val="000000"/>
                <w:sz w:val="20"/>
                <w:lang w:val="lt-LT"/>
              </w:rPr>
              <w:t xml:space="preserve">Kritinės infrastruktūros ir (arba) viešųjų erdvių su naujais ir (arba) pritaikytais įrenginiais, apsaugančiais nuo su saugumu susijusios rizikos,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1D2E5"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46D3C"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F9308"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853AC"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EEF69" w14:textId="77777777" w:rsidR="00A77B3E" w:rsidRPr="009201B2" w:rsidRDefault="00003C2A">
            <w:pPr>
              <w:spacing w:before="100"/>
              <w:jc w:val="center"/>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367CA"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15F49" w14:textId="77777777" w:rsidR="00A77B3E" w:rsidRPr="009201B2" w:rsidRDefault="00003C2A">
            <w:pPr>
              <w:spacing w:before="100"/>
              <w:rPr>
                <w:color w:val="000000"/>
                <w:sz w:val="20"/>
                <w:lang w:val="lt-LT"/>
              </w:rPr>
            </w:pPr>
            <w:r w:rsidRPr="009201B2">
              <w:rPr>
                <w:color w:val="000000"/>
                <w:sz w:val="20"/>
                <w:lang w:val="lt-LT"/>
              </w:rPr>
              <w: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1687B" w14:textId="77777777" w:rsidR="00A77B3E" w:rsidRPr="009201B2" w:rsidRDefault="00A77B3E">
            <w:pPr>
              <w:spacing w:before="100"/>
              <w:rPr>
                <w:color w:val="000000"/>
                <w:sz w:val="20"/>
                <w:lang w:val="lt-LT"/>
              </w:rPr>
            </w:pPr>
          </w:p>
        </w:tc>
      </w:tr>
      <w:tr w:rsidR="00535D32" w:rsidRPr="009201B2" w14:paraId="3CDF55CE"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CF288" w14:textId="77777777" w:rsidR="00A77B3E" w:rsidRPr="009201B2" w:rsidRDefault="00003C2A">
            <w:pPr>
              <w:spacing w:before="100"/>
              <w:rPr>
                <w:color w:val="000000"/>
                <w:sz w:val="20"/>
                <w:lang w:val="lt-LT"/>
              </w:rPr>
            </w:pPr>
            <w:r w:rsidRPr="009201B2">
              <w:rPr>
                <w:color w:val="000000"/>
                <w:sz w:val="20"/>
                <w:lang w:val="lt-LT"/>
              </w:rPr>
              <w:t>R.3.12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107CC" w14:textId="77777777" w:rsidR="00A77B3E" w:rsidRPr="009201B2" w:rsidRDefault="00003C2A">
            <w:pPr>
              <w:spacing w:before="100"/>
              <w:rPr>
                <w:color w:val="000000"/>
                <w:sz w:val="20"/>
                <w:lang w:val="lt-LT"/>
              </w:rPr>
            </w:pPr>
            <w:r w:rsidRPr="009201B2">
              <w:rPr>
                <w:color w:val="000000"/>
                <w:sz w:val="20"/>
                <w:lang w:val="lt-LT"/>
              </w:rPr>
              <w:t xml:space="preserve">Dalyvių, kurie mano, kad mokymai buvo naudingi jų darbui, skaičius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50662"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2BF4F"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20E25" w14:textId="77777777" w:rsidR="00A77B3E" w:rsidRPr="009201B2" w:rsidRDefault="00003C2A">
            <w:pPr>
              <w:spacing w:before="100"/>
              <w:rPr>
                <w:color w:val="000000"/>
                <w:sz w:val="20"/>
                <w:lang w:val="lt-LT"/>
              </w:rPr>
            </w:pPr>
            <w:r w:rsidRPr="009201B2">
              <w:rPr>
                <w:color w:val="000000"/>
                <w:sz w:val="20"/>
                <w:lang w:val="lt-LT"/>
              </w:rPr>
              <w:t>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5701D"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AFE19" w14:textId="77777777" w:rsidR="00A77B3E" w:rsidRPr="009201B2" w:rsidRDefault="00003C2A">
            <w:pPr>
              <w:spacing w:before="100"/>
              <w:jc w:val="center"/>
              <w:rPr>
                <w:color w:val="000000"/>
                <w:sz w:val="20"/>
                <w:lang w:val="lt-LT"/>
              </w:rPr>
            </w:pPr>
            <w:r w:rsidRPr="009201B2">
              <w:rPr>
                <w:color w:val="000000"/>
                <w:sz w:val="20"/>
                <w:lang w:val="lt-LT"/>
              </w:rPr>
              <w:t>613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2DEC6"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915AA"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0FC64" w14:textId="77777777" w:rsidR="00A77B3E" w:rsidRPr="009201B2" w:rsidRDefault="00A77B3E">
            <w:pPr>
              <w:spacing w:before="100"/>
              <w:rPr>
                <w:color w:val="000000"/>
                <w:sz w:val="20"/>
                <w:lang w:val="lt-LT"/>
              </w:rPr>
            </w:pPr>
          </w:p>
        </w:tc>
      </w:tr>
      <w:tr w:rsidR="00535D32" w:rsidRPr="009201B2" w14:paraId="7301DB37"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B92A1" w14:textId="77777777" w:rsidR="00A77B3E" w:rsidRPr="009201B2" w:rsidRDefault="00003C2A">
            <w:pPr>
              <w:spacing w:before="100"/>
              <w:rPr>
                <w:color w:val="000000"/>
                <w:sz w:val="20"/>
                <w:lang w:val="lt-LT"/>
              </w:rPr>
            </w:pPr>
            <w:r w:rsidRPr="009201B2">
              <w:rPr>
                <w:color w:val="000000"/>
                <w:sz w:val="20"/>
                <w:lang w:val="lt-LT"/>
              </w:rPr>
              <w:t>R.3.13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51FAE" w14:textId="77777777" w:rsidR="00A77B3E" w:rsidRPr="009201B2" w:rsidRDefault="00003C2A">
            <w:pPr>
              <w:spacing w:before="100"/>
              <w:rPr>
                <w:color w:val="000000"/>
                <w:sz w:val="20"/>
                <w:lang w:val="lt-LT"/>
              </w:rPr>
            </w:pPr>
            <w:r w:rsidRPr="009201B2">
              <w:rPr>
                <w:color w:val="000000"/>
                <w:sz w:val="20"/>
                <w:lang w:val="lt-LT"/>
              </w:rPr>
              <w:t>Dalyvių, kurie praėjus trims mėnesiams po mokymo praneša, kad naudojasi mokymo metu įgytais įgūdžiais ir kompetencijomis, 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D0CFB"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7F0EB" w14:textId="77777777" w:rsidR="00A77B3E" w:rsidRPr="009201B2" w:rsidRDefault="00003C2A">
            <w:pPr>
              <w:spacing w:before="100"/>
              <w:rPr>
                <w:color w:val="000000"/>
                <w:sz w:val="20"/>
                <w:lang w:val="lt-LT"/>
              </w:rPr>
            </w:pPr>
            <w:r w:rsidRPr="009201B2">
              <w:rPr>
                <w:color w:val="000000"/>
                <w:sz w:val="20"/>
                <w:lang w:val="lt-LT"/>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24B40" w14:textId="77777777" w:rsidR="00A77B3E" w:rsidRPr="009201B2" w:rsidRDefault="00003C2A">
            <w:pPr>
              <w:spacing w:before="100"/>
              <w:rPr>
                <w:color w:val="000000"/>
                <w:sz w:val="20"/>
                <w:lang w:val="lt-LT"/>
              </w:rPr>
            </w:pPr>
            <w:r w:rsidRPr="009201B2">
              <w:rPr>
                <w:color w:val="000000"/>
                <w:sz w:val="20"/>
                <w:lang w:val="lt-LT"/>
              </w:rPr>
              <w:t>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DB4F6" w14:textId="77777777" w:rsidR="00A77B3E" w:rsidRPr="009201B2" w:rsidRDefault="00003C2A">
            <w:pPr>
              <w:spacing w:before="100"/>
              <w:jc w:val="center"/>
              <w:rPr>
                <w:color w:val="000000"/>
                <w:sz w:val="20"/>
                <w:lang w:val="lt-LT"/>
              </w:rPr>
            </w:pPr>
            <w:r w:rsidRPr="009201B2">
              <w:rPr>
                <w:color w:val="000000"/>
                <w:sz w:val="20"/>
                <w:lang w:val="lt-LT"/>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40B9F" w14:textId="77777777" w:rsidR="00A77B3E" w:rsidRPr="009201B2" w:rsidRDefault="00003C2A">
            <w:pPr>
              <w:spacing w:before="100"/>
              <w:jc w:val="center"/>
              <w:rPr>
                <w:color w:val="000000"/>
                <w:sz w:val="20"/>
                <w:lang w:val="lt-LT"/>
              </w:rPr>
            </w:pPr>
            <w:r w:rsidRPr="009201B2">
              <w:rPr>
                <w:color w:val="000000"/>
                <w:sz w:val="20"/>
                <w:lang w:val="lt-LT"/>
              </w:rPr>
              <w:t>565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EACD3" w14:textId="77777777" w:rsidR="00A77B3E" w:rsidRPr="009201B2" w:rsidRDefault="00003C2A">
            <w:pPr>
              <w:spacing w:before="100"/>
              <w:rPr>
                <w:color w:val="000000"/>
                <w:sz w:val="20"/>
                <w:lang w:val="lt-LT"/>
              </w:rPr>
            </w:pPr>
            <w:r w:rsidRPr="009201B2">
              <w:rPr>
                <w:color w:val="000000"/>
                <w:sz w:val="20"/>
                <w:lang w:val="lt-LT"/>
              </w:rPr>
              <w:t>skaičius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9013A" w14:textId="77777777" w:rsidR="00A77B3E" w:rsidRPr="009201B2" w:rsidRDefault="00003C2A">
            <w:pPr>
              <w:spacing w:before="100"/>
              <w:rPr>
                <w:color w:val="000000"/>
                <w:sz w:val="20"/>
                <w:lang w:val="lt-LT"/>
              </w:rPr>
            </w:pPr>
            <w:r w:rsidRPr="009201B2">
              <w:rPr>
                <w:color w:val="000000"/>
                <w:sz w:val="20"/>
                <w:lang w:val="lt-LT"/>
              </w:rPr>
              <w:t>projects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10176" w14:textId="77777777" w:rsidR="00A77B3E" w:rsidRPr="009201B2" w:rsidRDefault="00A77B3E">
            <w:pPr>
              <w:spacing w:before="100"/>
              <w:rPr>
                <w:color w:val="000000"/>
                <w:sz w:val="20"/>
                <w:lang w:val="lt-LT"/>
              </w:rPr>
            </w:pPr>
          </w:p>
        </w:tc>
      </w:tr>
    </w:tbl>
    <w:p w14:paraId="2943B488" w14:textId="77777777" w:rsidR="00A77B3E" w:rsidRPr="009201B2" w:rsidRDefault="00A77B3E">
      <w:pPr>
        <w:spacing w:before="100"/>
        <w:rPr>
          <w:color w:val="000000"/>
          <w:sz w:val="20"/>
          <w:lang w:val="lt-LT"/>
        </w:rPr>
        <w:sectPr w:rsidR="00A77B3E" w:rsidRPr="009201B2">
          <w:headerReference w:type="even" r:id="rId48"/>
          <w:headerReference w:type="default" r:id="rId49"/>
          <w:footerReference w:type="even" r:id="rId50"/>
          <w:footerReference w:type="default" r:id="rId51"/>
          <w:headerReference w:type="first" r:id="rId52"/>
          <w:footerReference w:type="first" r:id="rId53"/>
          <w:pgSz w:w="16838" w:h="11906" w:orient="landscape"/>
          <w:pgMar w:top="720" w:right="720" w:bottom="864" w:left="936" w:header="288" w:footer="72" w:gutter="0"/>
          <w:cols w:space="720"/>
          <w:noEndnote/>
          <w:docGrid w:linePitch="360"/>
        </w:sectPr>
      </w:pPr>
    </w:p>
    <w:p w14:paraId="2571A072" w14:textId="77777777" w:rsidR="00A77B3E" w:rsidRPr="009201B2" w:rsidRDefault="00003C2A">
      <w:pPr>
        <w:spacing w:before="100"/>
        <w:rPr>
          <w:color w:val="000000"/>
          <w:sz w:val="0"/>
          <w:lang w:val="lt-LT"/>
        </w:rPr>
      </w:pPr>
      <w:r w:rsidRPr="009201B2">
        <w:rPr>
          <w:color w:val="000000"/>
          <w:lang w:val="lt-LT"/>
        </w:rPr>
        <w:lastRenderedPageBreak/>
        <w:t>2.1. Konkretus tikslas 3. Nusikalstamumo prevencija ir kova su juo</w:t>
      </w:r>
    </w:p>
    <w:p w14:paraId="1325037E"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22" w:name="_Toc256000078"/>
      <w:r w:rsidRPr="009201B2">
        <w:rPr>
          <w:rFonts w:ascii="Times New Roman" w:hAnsi="Times New Roman" w:cs="Times New Roman"/>
          <w:b w:val="0"/>
          <w:color w:val="000000"/>
          <w:sz w:val="24"/>
          <w:lang w:val="lt-LT"/>
        </w:rPr>
        <w:t>2.1.3. Preliminarus programos išteklių (ES) paskirstymas pagal intervencinių priemonių rūšį</w:t>
      </w:r>
      <w:bookmarkEnd w:id="22"/>
    </w:p>
    <w:p w14:paraId="0E03B698" w14:textId="77777777" w:rsidR="00A77B3E" w:rsidRPr="009201B2" w:rsidRDefault="00003C2A">
      <w:pPr>
        <w:spacing w:before="100"/>
        <w:rPr>
          <w:color w:val="000000"/>
          <w:lang w:val="lt-LT"/>
        </w:rPr>
      </w:pPr>
      <w:r w:rsidRPr="009201B2">
        <w:rPr>
          <w:color w:val="000000"/>
          <w:lang w:val="lt-LT"/>
        </w:rPr>
        <w:t>Nuoroda: BNR 22 straipsnio 5 dalis ir PMIF reglamento 16 straipsnio 12 dalis, VSF reglamento 13 straipsnio 12 dalis arba SVVP reglamento 13 straipsnio 18 dalis.</w:t>
      </w:r>
    </w:p>
    <w:p w14:paraId="3F809313" w14:textId="77777777" w:rsidR="00A77B3E" w:rsidRPr="009201B2" w:rsidRDefault="00003C2A">
      <w:pPr>
        <w:pStyle w:val="Antrat4"/>
        <w:spacing w:before="100" w:after="0"/>
        <w:rPr>
          <w:b w:val="0"/>
          <w:color w:val="000000"/>
          <w:sz w:val="24"/>
          <w:lang w:val="lt-LT"/>
        </w:rPr>
      </w:pPr>
      <w:bookmarkStart w:id="23" w:name="_Toc256000079"/>
      <w:r w:rsidRPr="009201B2">
        <w:rPr>
          <w:b w:val="0"/>
          <w:color w:val="000000"/>
          <w:sz w:val="24"/>
          <w:lang w:val="lt-LT"/>
        </w:rPr>
        <w:t>3 lentelė. Preliminarus paskirstymas</w:t>
      </w:r>
      <w:bookmarkEnd w:id="23"/>
    </w:p>
    <w:p w14:paraId="42972009"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1707"/>
        <w:gridCol w:w="2114"/>
      </w:tblGrid>
      <w:tr w:rsidR="00535D32" w:rsidRPr="009201B2" w14:paraId="5C926FC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4D4D5" w14:textId="77777777" w:rsidR="00A77B3E" w:rsidRPr="009201B2" w:rsidRDefault="00003C2A">
            <w:pPr>
              <w:spacing w:before="100"/>
              <w:rPr>
                <w:color w:val="000000"/>
                <w:sz w:val="20"/>
                <w:lang w:val="lt-LT"/>
              </w:rPr>
            </w:pPr>
            <w:r w:rsidRPr="009201B2">
              <w:rPr>
                <w:color w:val="000000"/>
                <w:sz w:val="20"/>
                <w:lang w:val="lt-LT"/>
              </w:rPr>
              <w:t>Priemonių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5C7DF" w14:textId="77777777" w:rsidR="00A77B3E" w:rsidRPr="009201B2" w:rsidRDefault="00003C2A">
            <w:pPr>
              <w:spacing w:before="100"/>
              <w:rPr>
                <w:color w:val="000000"/>
                <w:sz w:val="20"/>
                <w:lang w:val="lt-LT"/>
              </w:rPr>
            </w:pPr>
            <w:r w:rsidRPr="009201B2">
              <w:rPr>
                <w:color w:val="000000"/>
                <w:sz w:val="20"/>
                <w:lang w:val="lt-LT"/>
              </w:rPr>
              <w:t>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17D57" w14:textId="77777777" w:rsidR="00A77B3E" w:rsidRPr="009201B2" w:rsidRDefault="00003C2A">
            <w:pPr>
              <w:spacing w:before="100"/>
              <w:jc w:val="right"/>
              <w:rPr>
                <w:color w:val="000000"/>
                <w:sz w:val="20"/>
                <w:lang w:val="lt-LT"/>
              </w:rPr>
            </w:pPr>
            <w:r w:rsidRPr="009201B2">
              <w:rPr>
                <w:color w:val="000000"/>
                <w:sz w:val="20"/>
                <w:lang w:val="lt-LT"/>
              </w:rPr>
              <w:t>Orientacinė suma (eurais)</w:t>
            </w:r>
          </w:p>
        </w:tc>
      </w:tr>
      <w:tr w:rsidR="00535D32" w:rsidRPr="009201B2" w14:paraId="40568B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8460A"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3F8C7" w14:textId="77777777" w:rsidR="00A77B3E" w:rsidRPr="009201B2" w:rsidRDefault="00003C2A">
            <w:pPr>
              <w:spacing w:before="100"/>
              <w:rPr>
                <w:color w:val="000000"/>
                <w:sz w:val="20"/>
                <w:lang w:val="lt-LT"/>
              </w:rPr>
            </w:pPr>
            <w:r w:rsidRPr="009201B2">
              <w:rPr>
                <w:color w:val="000000"/>
                <w:sz w:val="20"/>
                <w:lang w:val="lt-LT"/>
              </w:rPr>
              <w:t>001.IRT sistemos, sąveikumas, duomenų kokybė (išskyrus įrangą)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BA99B" w14:textId="77777777" w:rsidR="00A77B3E" w:rsidRPr="009201B2" w:rsidRDefault="00003C2A">
            <w:pPr>
              <w:spacing w:before="100"/>
              <w:jc w:val="right"/>
              <w:rPr>
                <w:color w:val="000000"/>
                <w:sz w:val="20"/>
                <w:lang w:val="lt-LT"/>
              </w:rPr>
            </w:pPr>
            <w:r w:rsidRPr="009201B2">
              <w:rPr>
                <w:color w:val="000000"/>
                <w:sz w:val="20"/>
                <w:lang w:val="lt-LT"/>
              </w:rPr>
              <w:t>4 092 150,00</w:t>
            </w:r>
          </w:p>
        </w:tc>
      </w:tr>
      <w:tr w:rsidR="00535D32" w:rsidRPr="009201B2" w14:paraId="2BDCFB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E3846"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1B87D" w14:textId="77777777" w:rsidR="00A77B3E" w:rsidRPr="009201B2" w:rsidRDefault="00003C2A">
            <w:pPr>
              <w:spacing w:before="100"/>
              <w:rPr>
                <w:color w:val="000000"/>
                <w:sz w:val="20"/>
                <w:lang w:val="lt-LT"/>
              </w:rPr>
            </w:pPr>
            <w:r w:rsidRPr="009201B2">
              <w:rPr>
                <w:color w:val="000000"/>
                <w:sz w:val="20"/>
                <w:lang w:val="lt-LT"/>
              </w:rPr>
              <w:t>002.Tinklai, kompetencijos centrai, bendradarbiavimo struktūros, bendri veiksmai ir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F4BD4"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453688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D18E3"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0A36B" w14:textId="77777777" w:rsidR="00A77B3E" w:rsidRPr="009201B2" w:rsidRDefault="00003C2A">
            <w:pPr>
              <w:spacing w:before="100"/>
              <w:rPr>
                <w:color w:val="000000"/>
                <w:sz w:val="20"/>
                <w:lang w:val="lt-LT"/>
              </w:rPr>
            </w:pPr>
            <w:r w:rsidRPr="009201B2">
              <w:rPr>
                <w:color w:val="000000"/>
                <w:sz w:val="20"/>
                <w:lang w:val="lt-LT"/>
              </w:rPr>
              <w:t>003.Jungtinės tyrimų grupės arba kitos bendros operacijos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A095F"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4D5670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1EE9B"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B9FF5" w14:textId="77777777" w:rsidR="00A77B3E" w:rsidRPr="009201B2" w:rsidRDefault="00003C2A">
            <w:pPr>
              <w:spacing w:before="100"/>
              <w:rPr>
                <w:color w:val="000000"/>
                <w:sz w:val="20"/>
                <w:lang w:val="lt-LT"/>
              </w:rPr>
            </w:pPr>
            <w:r w:rsidRPr="009201B2">
              <w:rPr>
                <w:color w:val="000000"/>
                <w:sz w:val="20"/>
                <w:lang w:val="lt-LT"/>
              </w:rPr>
              <w:t>004.Ekspertų komandiravimas arba siuntimas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41FD9"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2E07CF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5C95A"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A491B" w14:textId="77777777" w:rsidR="00A77B3E" w:rsidRPr="009201B2" w:rsidRDefault="00003C2A">
            <w:pPr>
              <w:spacing w:before="100"/>
              <w:rPr>
                <w:color w:val="000000"/>
                <w:sz w:val="20"/>
                <w:lang w:val="lt-LT"/>
              </w:rPr>
            </w:pPr>
            <w:r w:rsidRPr="009201B2">
              <w:rPr>
                <w:color w:val="000000"/>
                <w:sz w:val="20"/>
                <w:lang w:val="lt-LT"/>
              </w:rPr>
              <w:t>005.Mokymas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34841" w14:textId="77777777" w:rsidR="00A77B3E" w:rsidRPr="009201B2" w:rsidRDefault="00003C2A">
            <w:pPr>
              <w:spacing w:before="100"/>
              <w:jc w:val="right"/>
              <w:rPr>
                <w:color w:val="000000"/>
                <w:sz w:val="20"/>
                <w:lang w:val="lt-LT"/>
              </w:rPr>
            </w:pPr>
            <w:r w:rsidRPr="009201B2">
              <w:rPr>
                <w:color w:val="000000"/>
                <w:sz w:val="20"/>
                <w:lang w:val="lt-LT"/>
              </w:rPr>
              <w:t>660 000,00</w:t>
            </w:r>
          </w:p>
        </w:tc>
      </w:tr>
      <w:tr w:rsidR="00535D32" w:rsidRPr="009201B2" w14:paraId="5BB3B2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9FB78"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113A5" w14:textId="77777777" w:rsidR="00A77B3E" w:rsidRPr="009201B2" w:rsidRDefault="00003C2A">
            <w:pPr>
              <w:spacing w:before="100"/>
              <w:rPr>
                <w:color w:val="000000"/>
                <w:sz w:val="20"/>
                <w:lang w:val="lt-LT"/>
              </w:rPr>
            </w:pPr>
            <w:r w:rsidRPr="009201B2">
              <w:rPr>
                <w:color w:val="000000"/>
                <w:sz w:val="20"/>
                <w:lang w:val="lt-LT"/>
              </w:rPr>
              <w:t>006.Keitimasis geriausios praktikos pavyzdžiais, praktiniai seminarai, konferencijos, renginiai, informuotumo didinimo kampanijos, komunikacijos veikla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B6DE5" w14:textId="77777777" w:rsidR="00A77B3E" w:rsidRPr="009201B2" w:rsidRDefault="00003C2A">
            <w:pPr>
              <w:spacing w:before="100"/>
              <w:jc w:val="right"/>
              <w:rPr>
                <w:color w:val="000000"/>
                <w:sz w:val="20"/>
                <w:lang w:val="lt-LT"/>
              </w:rPr>
            </w:pPr>
            <w:r w:rsidRPr="009201B2">
              <w:rPr>
                <w:color w:val="000000"/>
                <w:sz w:val="20"/>
                <w:lang w:val="lt-LT"/>
              </w:rPr>
              <w:t>416 250,00</w:t>
            </w:r>
          </w:p>
        </w:tc>
      </w:tr>
      <w:tr w:rsidR="00535D32" w:rsidRPr="009201B2" w14:paraId="0E928C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676B7"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4FEA2" w14:textId="77777777" w:rsidR="00A77B3E" w:rsidRPr="009201B2" w:rsidRDefault="00003C2A">
            <w:pPr>
              <w:spacing w:before="100"/>
              <w:rPr>
                <w:color w:val="000000"/>
                <w:sz w:val="20"/>
                <w:lang w:val="lt-LT"/>
              </w:rPr>
            </w:pPr>
            <w:r w:rsidRPr="009201B2">
              <w:rPr>
                <w:color w:val="000000"/>
                <w:sz w:val="20"/>
                <w:lang w:val="lt-LT"/>
              </w:rPr>
              <w:t>007.Tyrimai, bandomieji projektai, rizikos vertinimai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95084"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39BAA6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B6B36"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CC909" w14:textId="77777777" w:rsidR="00A77B3E" w:rsidRPr="009201B2" w:rsidRDefault="00003C2A">
            <w:pPr>
              <w:spacing w:before="100"/>
              <w:rPr>
                <w:color w:val="000000"/>
                <w:sz w:val="20"/>
                <w:lang w:val="lt-LT"/>
              </w:rPr>
            </w:pPr>
            <w:r w:rsidRPr="009201B2">
              <w:rPr>
                <w:color w:val="000000"/>
                <w:sz w:val="20"/>
                <w:lang w:val="lt-LT"/>
              </w:rPr>
              <w:t>008.Įranga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956FA" w14:textId="77777777" w:rsidR="00A77B3E" w:rsidRPr="009201B2" w:rsidRDefault="00003C2A">
            <w:pPr>
              <w:spacing w:before="100"/>
              <w:jc w:val="right"/>
              <w:rPr>
                <w:color w:val="000000"/>
                <w:sz w:val="20"/>
                <w:lang w:val="lt-LT"/>
              </w:rPr>
            </w:pPr>
            <w:r w:rsidRPr="009201B2">
              <w:rPr>
                <w:color w:val="000000"/>
                <w:sz w:val="20"/>
                <w:lang w:val="lt-LT"/>
              </w:rPr>
              <w:t>1 717 125,00</w:t>
            </w:r>
          </w:p>
        </w:tc>
      </w:tr>
      <w:tr w:rsidR="00535D32" w:rsidRPr="009201B2" w14:paraId="151524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4B1D0"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647B1" w14:textId="77777777" w:rsidR="00A77B3E" w:rsidRPr="009201B2" w:rsidRDefault="00003C2A">
            <w:pPr>
              <w:spacing w:before="100"/>
              <w:rPr>
                <w:color w:val="000000"/>
                <w:sz w:val="20"/>
                <w:lang w:val="lt-LT"/>
              </w:rPr>
            </w:pPr>
            <w:r w:rsidRPr="009201B2">
              <w:rPr>
                <w:color w:val="000000"/>
                <w:sz w:val="20"/>
                <w:lang w:val="lt-LT"/>
              </w:rPr>
              <w:t>009.Transporto priemonė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8FD95"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10406E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1829D"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CB806" w14:textId="77777777" w:rsidR="00A77B3E" w:rsidRPr="009201B2" w:rsidRDefault="00003C2A">
            <w:pPr>
              <w:spacing w:before="100"/>
              <w:rPr>
                <w:color w:val="000000"/>
                <w:sz w:val="20"/>
                <w:lang w:val="lt-LT"/>
              </w:rPr>
            </w:pPr>
            <w:r w:rsidRPr="009201B2">
              <w:rPr>
                <w:color w:val="000000"/>
                <w:sz w:val="20"/>
                <w:lang w:val="lt-LT"/>
              </w:rPr>
              <w:t>010.Pastatai ir įrenginiai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C82BE" w14:textId="77777777" w:rsidR="00A77B3E" w:rsidRPr="009201B2" w:rsidRDefault="00003C2A">
            <w:pPr>
              <w:spacing w:before="100"/>
              <w:jc w:val="right"/>
              <w:rPr>
                <w:color w:val="000000"/>
                <w:sz w:val="20"/>
                <w:lang w:val="lt-LT"/>
              </w:rPr>
            </w:pPr>
            <w:r w:rsidRPr="009201B2">
              <w:rPr>
                <w:color w:val="000000"/>
                <w:sz w:val="20"/>
                <w:lang w:val="lt-LT"/>
              </w:rPr>
              <w:t>0,00</w:t>
            </w:r>
          </w:p>
        </w:tc>
      </w:tr>
      <w:tr w:rsidR="00535D32" w:rsidRPr="009201B2" w14:paraId="08DC24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120DB" w14:textId="77777777" w:rsidR="00A77B3E" w:rsidRPr="009201B2" w:rsidRDefault="00003C2A">
            <w:pPr>
              <w:spacing w:before="100"/>
              <w:rPr>
                <w:color w:val="000000"/>
                <w:sz w:val="20"/>
                <w:lang w:val="lt-LT"/>
              </w:rPr>
            </w:pPr>
            <w:r w:rsidRPr="009201B2">
              <w:rPr>
                <w:color w:val="000000"/>
                <w:sz w:val="20"/>
                <w:lang w:val="lt-LT"/>
              </w:rPr>
              <w:t>Veiksmų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6221C" w14:textId="77777777" w:rsidR="00A77B3E" w:rsidRPr="009201B2" w:rsidRDefault="00003C2A">
            <w:pPr>
              <w:spacing w:before="100"/>
              <w:rPr>
                <w:color w:val="000000"/>
                <w:sz w:val="20"/>
                <w:lang w:val="lt-LT"/>
              </w:rPr>
            </w:pPr>
            <w:r w:rsidRPr="009201B2">
              <w:rPr>
                <w:color w:val="000000"/>
                <w:sz w:val="20"/>
                <w:lang w:val="lt-LT"/>
              </w:rPr>
              <w:t>011.Siuntimas arba kiti tolesni veiksmai, susiję su mokslinių tyrimų projektais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780FC" w14:textId="77777777" w:rsidR="00A77B3E" w:rsidRPr="009201B2" w:rsidRDefault="00003C2A">
            <w:pPr>
              <w:spacing w:before="100"/>
              <w:jc w:val="right"/>
              <w:rPr>
                <w:color w:val="000000"/>
                <w:sz w:val="20"/>
                <w:lang w:val="lt-LT"/>
              </w:rPr>
            </w:pPr>
            <w:r w:rsidRPr="009201B2">
              <w:rPr>
                <w:color w:val="000000"/>
                <w:sz w:val="20"/>
                <w:lang w:val="lt-LT"/>
              </w:rPr>
              <w:t>0,00</w:t>
            </w:r>
          </w:p>
        </w:tc>
      </w:tr>
    </w:tbl>
    <w:p w14:paraId="0068A4BE" w14:textId="77777777" w:rsidR="00A77B3E" w:rsidRPr="009201B2" w:rsidRDefault="00A77B3E">
      <w:pPr>
        <w:spacing w:before="100"/>
        <w:rPr>
          <w:color w:val="000000"/>
          <w:sz w:val="20"/>
          <w:lang w:val="lt-LT"/>
        </w:rPr>
        <w:sectPr w:rsidR="00A77B3E" w:rsidRPr="009201B2">
          <w:pgSz w:w="16838" w:h="11906" w:orient="landscape"/>
          <w:pgMar w:top="720" w:right="720" w:bottom="864" w:left="936" w:header="288" w:footer="72" w:gutter="0"/>
          <w:cols w:space="720"/>
          <w:noEndnote/>
          <w:docGrid w:linePitch="360"/>
        </w:sectPr>
      </w:pPr>
    </w:p>
    <w:p w14:paraId="4984C48C"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24" w:name="_Toc256000080"/>
      <w:r w:rsidRPr="009201B2">
        <w:rPr>
          <w:rFonts w:ascii="Times New Roman" w:hAnsi="Times New Roman" w:cs="Times New Roman"/>
          <w:b w:val="0"/>
          <w:i w:val="0"/>
          <w:color w:val="000000"/>
          <w:sz w:val="24"/>
          <w:lang w:val="lt-LT"/>
        </w:rPr>
        <w:lastRenderedPageBreak/>
        <w:t>2.2. Techninė parama: TA.36(5). Techninė pagalba – fiksuoto dydžio (BNR 36 straipsnio 5 dalis)</w:t>
      </w:r>
      <w:bookmarkEnd w:id="24"/>
    </w:p>
    <w:p w14:paraId="0574F932" w14:textId="77777777" w:rsidR="00A77B3E" w:rsidRPr="009201B2" w:rsidRDefault="00A77B3E">
      <w:pPr>
        <w:spacing w:before="100"/>
        <w:rPr>
          <w:color w:val="000000"/>
          <w:sz w:val="0"/>
          <w:lang w:val="lt-LT"/>
        </w:rPr>
      </w:pPr>
    </w:p>
    <w:p w14:paraId="738895DA" w14:textId="77777777" w:rsidR="00A77B3E" w:rsidRPr="009201B2" w:rsidRDefault="00003C2A">
      <w:pPr>
        <w:spacing w:before="100"/>
        <w:rPr>
          <w:color w:val="000000"/>
          <w:sz w:val="0"/>
          <w:lang w:val="lt-LT"/>
        </w:rPr>
      </w:pPr>
      <w:r w:rsidRPr="009201B2">
        <w:rPr>
          <w:color w:val="000000"/>
          <w:lang w:val="lt-LT"/>
        </w:rPr>
        <w:t>Nuoroda: BNR 22 straipsnio 3 dalies f punktas, 36 straipsnio 5 dalis, 37 ir 95 straipsniai.</w:t>
      </w:r>
    </w:p>
    <w:p w14:paraId="59E9D038"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25" w:name="_Toc256000081"/>
      <w:r w:rsidRPr="009201B2">
        <w:rPr>
          <w:rFonts w:ascii="Times New Roman" w:hAnsi="Times New Roman" w:cs="Times New Roman"/>
          <w:b w:val="0"/>
          <w:color w:val="000000"/>
          <w:sz w:val="24"/>
          <w:lang w:val="lt-LT"/>
        </w:rPr>
        <w:t>2.2.1. Aprašymas</w:t>
      </w:r>
      <w:bookmarkEnd w:id="25"/>
    </w:p>
    <w:p w14:paraId="79E5D047"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7F5D2D" w14:paraId="1DF71A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42F21" w14:textId="77777777" w:rsidR="00A77B3E" w:rsidRPr="009201B2" w:rsidRDefault="00A77B3E">
            <w:pPr>
              <w:spacing w:before="100"/>
              <w:rPr>
                <w:color w:val="000000"/>
                <w:sz w:val="0"/>
                <w:lang w:val="lt-LT"/>
              </w:rPr>
            </w:pPr>
          </w:p>
          <w:p w14:paraId="0440B7DE" w14:textId="1CD2E86C" w:rsidR="00A77B3E" w:rsidRPr="009201B2" w:rsidRDefault="008A30AD" w:rsidP="004A5EA0">
            <w:pPr>
              <w:spacing w:before="100"/>
              <w:jc w:val="both"/>
              <w:rPr>
                <w:color w:val="000000"/>
                <w:lang w:val="lt-LT"/>
              </w:rPr>
            </w:pPr>
            <w:r w:rsidRPr="008A30AD">
              <w:rPr>
                <w:color w:val="000000"/>
                <w:lang w:val="lt-LT"/>
              </w:rPr>
              <w:t xml:space="preserve">Vidaus reikalų ministerija (kaip vadovaujančioji institucija), VšĮ </w:t>
            </w:r>
            <w:r>
              <w:rPr>
                <w:color w:val="000000"/>
                <w:lang w:val="lt-LT"/>
              </w:rPr>
              <w:t>„</w:t>
            </w:r>
            <w:r w:rsidRPr="008A30AD">
              <w:rPr>
                <w:color w:val="000000"/>
                <w:lang w:val="lt-LT"/>
              </w:rPr>
              <w:t>Centrinė projektų valdymo agentūra</w:t>
            </w:r>
            <w:r>
              <w:rPr>
                <w:color w:val="000000"/>
                <w:lang w:val="lt-LT"/>
              </w:rPr>
              <w:t>“</w:t>
            </w:r>
            <w:r w:rsidRPr="008A30AD">
              <w:rPr>
                <w:color w:val="000000"/>
                <w:lang w:val="lt-LT"/>
              </w:rPr>
              <w:t xml:space="preserve"> (kaip</w:t>
            </w:r>
            <w:r w:rsidR="00A81CB3">
              <w:rPr>
                <w:color w:val="000000"/>
                <w:lang w:val="lt-LT"/>
              </w:rPr>
              <w:t>tarpinė institucija</w:t>
            </w:r>
            <w:r w:rsidRPr="008A30AD">
              <w:rPr>
                <w:color w:val="000000"/>
                <w:lang w:val="lt-LT"/>
              </w:rPr>
              <w:t>) ir Vidaus reikalų ministerijos Centralizuot</w:t>
            </w:r>
            <w:r w:rsidR="00A81CB3">
              <w:rPr>
                <w:color w:val="000000"/>
                <w:lang w:val="lt-LT"/>
              </w:rPr>
              <w:t>o</w:t>
            </w:r>
            <w:r w:rsidRPr="008A30AD">
              <w:rPr>
                <w:color w:val="000000"/>
                <w:lang w:val="lt-LT"/>
              </w:rPr>
              <w:t xml:space="preserve"> vidaus audito skyrius (kaip audito institucija) technine parama naudosis parengiamosioms, valdymo, stebėsenos, vertinimo, perdavimo, kontrolės ir administracinių gebėjimų stiprinimo priemonėms, numatytoms Bendrojo nuostatų reglamente, finansuoti.</w:t>
            </w:r>
          </w:p>
          <w:p w14:paraId="41DA7FF0" w14:textId="6B3E3745" w:rsidR="00A77B3E" w:rsidRPr="009201B2" w:rsidRDefault="008A30AD" w:rsidP="004A5EA0">
            <w:pPr>
              <w:spacing w:before="100"/>
              <w:jc w:val="both"/>
              <w:rPr>
                <w:color w:val="000000"/>
                <w:lang w:val="lt-LT"/>
              </w:rPr>
            </w:pPr>
            <w:r w:rsidRPr="008A30AD">
              <w:rPr>
                <w:color w:val="000000"/>
                <w:lang w:val="lt-LT"/>
              </w:rPr>
              <w:t xml:space="preserve">Pagrindinė techninės </w:t>
            </w:r>
            <w:r w:rsidR="00A81CB3">
              <w:rPr>
                <w:color w:val="000000"/>
                <w:lang w:val="lt-LT"/>
              </w:rPr>
              <w:t>paramos</w:t>
            </w:r>
            <w:r w:rsidR="00A81CB3" w:rsidRPr="008A30AD">
              <w:rPr>
                <w:color w:val="000000"/>
                <w:lang w:val="lt-LT"/>
              </w:rPr>
              <w:t xml:space="preserve"> </w:t>
            </w:r>
            <w:r w:rsidRPr="008A30AD">
              <w:rPr>
                <w:color w:val="000000"/>
                <w:lang w:val="lt-LT"/>
              </w:rPr>
              <w:t xml:space="preserve">užduotis bus vykdyti </w:t>
            </w:r>
            <w:r>
              <w:rPr>
                <w:color w:val="000000"/>
                <w:lang w:val="lt-LT"/>
              </w:rPr>
              <w:t>V</w:t>
            </w:r>
            <w:r w:rsidRPr="008A30AD">
              <w:rPr>
                <w:color w:val="000000"/>
                <w:lang w:val="lt-LT"/>
              </w:rPr>
              <w:t xml:space="preserve">SF </w:t>
            </w:r>
            <w:r w:rsidR="00BE352F">
              <w:rPr>
                <w:color w:val="000000"/>
                <w:lang w:val="lt-LT"/>
              </w:rPr>
              <w:t xml:space="preserve">finansavimo </w:t>
            </w:r>
            <w:r w:rsidRPr="008A30AD">
              <w:rPr>
                <w:color w:val="000000"/>
                <w:lang w:val="lt-LT"/>
              </w:rPr>
              <w:t xml:space="preserve">administravimo funkcijas, priskirtas vadovaujančiajai, </w:t>
            </w:r>
            <w:r w:rsidR="00A81CB3">
              <w:rPr>
                <w:color w:val="000000"/>
                <w:lang w:val="lt-LT"/>
              </w:rPr>
              <w:t xml:space="preserve">tarpinei </w:t>
            </w:r>
            <w:r w:rsidRPr="008A30AD">
              <w:rPr>
                <w:color w:val="000000"/>
                <w:lang w:val="lt-LT"/>
              </w:rPr>
              <w:t xml:space="preserve">ir audito institucijoms, kaip nurodyta Lietuvos Respublikos vidaus reikalų ministro 2021 m. rugsėjo 2 d. įsakyme Nr. </w:t>
            </w:r>
            <w:r>
              <w:rPr>
                <w:color w:val="000000"/>
                <w:lang w:val="lt-LT"/>
              </w:rPr>
              <w:t>1</w:t>
            </w:r>
            <w:r w:rsidRPr="008A30AD">
              <w:rPr>
                <w:color w:val="000000"/>
                <w:lang w:val="lt-LT"/>
              </w:rPr>
              <w:t>V-705</w:t>
            </w:r>
            <w:r>
              <w:rPr>
                <w:color w:val="000000"/>
                <w:lang w:val="lt-LT"/>
              </w:rPr>
              <w:t xml:space="preserve"> „</w:t>
            </w:r>
            <w:hyperlink r:id="rId54" w:tgtFrame="_blank" w:history="1">
              <w:r w:rsidRPr="008A30AD">
                <w:rPr>
                  <w:rStyle w:val="Grietas"/>
                  <w:rFonts w:asciiTheme="majorBidi" w:hAnsiTheme="majorBidi" w:cstheme="majorBidi"/>
                  <w:b w:val="0"/>
                  <w:bCs w:val="0"/>
                  <w:color w:val="000000"/>
                  <w:lang w:val="lt-LT"/>
                </w:rPr>
                <w:t>Dėl Funkcijų paskirstymo tarp institucijų, įgyvendinant Sienų valdymo ir vizų politikos finansinės paramos priemonės, įtrauktos į Integruoto sienų valdymo fondą, ir Vidaus saugumo fondo 2021–2027 m. programas, tvarkos aprašo patvirtinimo“</w:t>
              </w:r>
            </w:hyperlink>
            <w:r w:rsidR="00003C2A" w:rsidRPr="009201B2">
              <w:rPr>
                <w:color w:val="000000"/>
                <w:lang w:val="lt-LT"/>
              </w:rPr>
              <w:t>.</w:t>
            </w:r>
          </w:p>
          <w:p w14:paraId="766AF9AD" w14:textId="4CDB3AAA" w:rsidR="00A77B3E" w:rsidRPr="009201B2" w:rsidRDefault="008A30AD" w:rsidP="004A5EA0">
            <w:pPr>
              <w:spacing w:before="100"/>
              <w:jc w:val="both"/>
              <w:rPr>
                <w:color w:val="000000"/>
                <w:lang w:val="lt-LT"/>
              </w:rPr>
            </w:pPr>
            <w:r w:rsidRPr="008A30AD">
              <w:rPr>
                <w:color w:val="000000"/>
                <w:lang w:val="lt-LT"/>
              </w:rPr>
              <w:t xml:space="preserve">Planuojama, kad už institucijoms priskirtų funkcijų </w:t>
            </w:r>
            <w:r>
              <w:rPr>
                <w:color w:val="000000"/>
                <w:lang w:val="lt-LT"/>
              </w:rPr>
              <w:t>v</w:t>
            </w:r>
            <w:r>
              <w:rPr>
                <w:lang w:val="lt-LT"/>
              </w:rPr>
              <w:t>ykdymą</w:t>
            </w:r>
            <w:r w:rsidRPr="008A30AD">
              <w:rPr>
                <w:color w:val="000000"/>
                <w:lang w:val="lt-LT"/>
              </w:rPr>
              <w:t xml:space="preserve"> įgyvendinant 2021</w:t>
            </w:r>
            <w:r>
              <w:rPr>
                <w:color w:val="000000"/>
                <w:lang w:val="lt-LT"/>
              </w:rPr>
              <w:t>–</w:t>
            </w:r>
            <w:r w:rsidRPr="008A30AD">
              <w:rPr>
                <w:color w:val="000000"/>
                <w:lang w:val="lt-LT"/>
              </w:rPr>
              <w:t xml:space="preserve">2027 m. </w:t>
            </w:r>
            <w:r>
              <w:rPr>
                <w:color w:val="000000"/>
                <w:lang w:val="lt-LT"/>
              </w:rPr>
              <w:t>V</w:t>
            </w:r>
            <w:r w:rsidRPr="008A30AD">
              <w:rPr>
                <w:color w:val="000000"/>
                <w:lang w:val="lt-LT"/>
              </w:rPr>
              <w:t>SF programą bus atsakingi tie patys darbuotojai, kaip ir įgyvendinant 2014</w:t>
            </w:r>
            <w:r w:rsidR="00A81CB3">
              <w:rPr>
                <w:color w:val="000000"/>
                <w:lang w:val="lt-LT"/>
              </w:rPr>
              <w:t>–</w:t>
            </w:r>
            <w:r w:rsidRPr="008A30AD">
              <w:rPr>
                <w:color w:val="000000"/>
                <w:lang w:val="lt-LT"/>
              </w:rPr>
              <w:t xml:space="preserve">2020 m. </w:t>
            </w:r>
            <w:r>
              <w:rPr>
                <w:color w:val="000000"/>
                <w:lang w:val="lt-LT"/>
              </w:rPr>
              <w:t>V</w:t>
            </w:r>
            <w:r w:rsidRPr="008A30AD">
              <w:rPr>
                <w:color w:val="000000"/>
                <w:lang w:val="lt-LT"/>
              </w:rPr>
              <w:t>SF programą.</w:t>
            </w:r>
            <w:r>
              <w:rPr>
                <w:color w:val="000000"/>
                <w:lang w:val="lt-LT"/>
              </w:rPr>
              <w:t xml:space="preserve"> </w:t>
            </w:r>
            <w:r w:rsidR="00003C2A" w:rsidRPr="009201B2">
              <w:rPr>
                <w:color w:val="000000"/>
                <w:lang w:val="lt-LT"/>
              </w:rPr>
              <w:t xml:space="preserve"> </w:t>
            </w:r>
          </w:p>
          <w:p w14:paraId="79110B9A" w14:textId="03484010" w:rsidR="00A77B3E" w:rsidRPr="009201B2" w:rsidRDefault="008A30AD" w:rsidP="004A5EA0">
            <w:pPr>
              <w:spacing w:before="100"/>
              <w:jc w:val="both"/>
              <w:rPr>
                <w:color w:val="000000"/>
                <w:lang w:val="lt-LT"/>
              </w:rPr>
            </w:pPr>
            <w:r w:rsidRPr="008A30AD">
              <w:rPr>
                <w:color w:val="000000"/>
                <w:lang w:val="lt-LT"/>
              </w:rPr>
              <w:t xml:space="preserve">Techninės paramos lėšos skiriamos paskirto personalo darbo užmokesčiui ir visiems susijusiems mokėjimams bei mokesčiams mokėti, administracinių gebėjimų stiprinimo priemonėms, </w:t>
            </w:r>
            <w:r w:rsidR="00321FB3">
              <w:rPr>
                <w:color w:val="000000"/>
                <w:lang w:val="lt-LT"/>
              </w:rPr>
              <w:t>informavimo apie V</w:t>
            </w:r>
            <w:r w:rsidRPr="008A30AD">
              <w:rPr>
                <w:color w:val="000000"/>
                <w:lang w:val="lt-LT"/>
              </w:rPr>
              <w:t>SF program</w:t>
            </w:r>
            <w:r w:rsidR="00321FB3">
              <w:rPr>
                <w:color w:val="000000"/>
                <w:lang w:val="lt-LT"/>
              </w:rPr>
              <w:t xml:space="preserve">ą </w:t>
            </w:r>
            <w:r w:rsidRPr="008A30AD">
              <w:rPr>
                <w:color w:val="000000"/>
                <w:lang w:val="lt-LT"/>
              </w:rPr>
              <w:t xml:space="preserve">ir </w:t>
            </w:r>
            <w:r w:rsidR="00321FB3">
              <w:rPr>
                <w:color w:val="000000"/>
                <w:lang w:val="lt-LT"/>
              </w:rPr>
              <w:t xml:space="preserve">jos </w:t>
            </w:r>
            <w:r w:rsidRPr="008A30AD">
              <w:rPr>
                <w:color w:val="000000"/>
                <w:lang w:val="lt-LT"/>
              </w:rPr>
              <w:t xml:space="preserve">viešinimo priemonėms, kompiuterizuotos informacijos valdymo ir priežiūros sistemos modernizavimui, ekspertų paslaugoms, teisinėms konsultacijoms, vertimams, Stebėsenos komiteto posėdžiams organizuoti, kanceliarinėms prekėms įsigyti, reprezentacinėms ir kitoms administracinėms išlaidoms, atitinkančioms Fondo techninės paramos taisyklėse nustatytus finansuotinų išlaidų tinkamumo reikalavimus, apmokėti. </w:t>
            </w:r>
          </w:p>
        </w:tc>
      </w:tr>
    </w:tbl>
    <w:p w14:paraId="2BCE88B2" w14:textId="77777777" w:rsidR="00A77B3E" w:rsidRPr="009201B2" w:rsidRDefault="00A77B3E">
      <w:pPr>
        <w:spacing w:before="100"/>
        <w:rPr>
          <w:color w:val="000000"/>
          <w:lang w:val="lt-LT"/>
        </w:rPr>
        <w:sectPr w:rsidR="00A77B3E" w:rsidRPr="009201B2">
          <w:headerReference w:type="even" r:id="rId55"/>
          <w:headerReference w:type="default" r:id="rId56"/>
          <w:footerReference w:type="even" r:id="rId57"/>
          <w:footerReference w:type="default" r:id="rId58"/>
          <w:headerReference w:type="first" r:id="rId59"/>
          <w:footerReference w:type="first" r:id="rId60"/>
          <w:pgSz w:w="11906" w:h="16838"/>
          <w:pgMar w:top="720" w:right="936" w:bottom="864" w:left="720" w:header="0" w:footer="72" w:gutter="0"/>
          <w:cols w:space="720"/>
          <w:noEndnote/>
          <w:docGrid w:linePitch="360"/>
        </w:sectPr>
      </w:pPr>
    </w:p>
    <w:p w14:paraId="2D5EEA89" w14:textId="77777777" w:rsidR="00A77B3E" w:rsidRPr="009201B2" w:rsidRDefault="00003C2A">
      <w:pPr>
        <w:spacing w:before="100"/>
        <w:rPr>
          <w:color w:val="000000"/>
          <w:sz w:val="0"/>
          <w:lang w:val="lt-LT"/>
        </w:rPr>
      </w:pPr>
      <w:r w:rsidRPr="009201B2">
        <w:rPr>
          <w:color w:val="000000"/>
          <w:lang w:val="lt-LT"/>
        </w:rPr>
        <w:lastRenderedPageBreak/>
        <w:t>2.2. Techninė parama TA.36(5). Techninė pagalba – fiksuoto dydžio (BNR 36 straipsnio 5 dalis)</w:t>
      </w:r>
    </w:p>
    <w:p w14:paraId="2D584364" w14:textId="77777777" w:rsidR="00A77B3E" w:rsidRPr="009201B2" w:rsidRDefault="00003C2A">
      <w:pPr>
        <w:pStyle w:val="Antrat3"/>
        <w:spacing w:before="100" w:after="0"/>
        <w:rPr>
          <w:rFonts w:ascii="Times New Roman" w:hAnsi="Times New Roman" w:cs="Times New Roman"/>
          <w:b w:val="0"/>
          <w:color w:val="000000"/>
          <w:sz w:val="24"/>
          <w:lang w:val="lt-LT"/>
        </w:rPr>
      </w:pPr>
      <w:bookmarkStart w:id="26" w:name="_Toc256000082"/>
      <w:r w:rsidRPr="009201B2">
        <w:rPr>
          <w:rFonts w:ascii="Times New Roman" w:hAnsi="Times New Roman" w:cs="Times New Roman"/>
          <w:b w:val="0"/>
          <w:color w:val="000000"/>
          <w:sz w:val="24"/>
          <w:lang w:val="lt-LT"/>
        </w:rPr>
        <w:t>2.2.2. Techninės paramos preliminarus paskirstymas pagal BNR 37 straipsnį</w:t>
      </w:r>
      <w:bookmarkEnd w:id="26"/>
    </w:p>
    <w:p w14:paraId="2E1E20F5" w14:textId="77777777" w:rsidR="00A77B3E" w:rsidRPr="009201B2" w:rsidRDefault="00003C2A">
      <w:pPr>
        <w:pStyle w:val="Antrat4"/>
        <w:spacing w:before="100" w:after="0"/>
        <w:rPr>
          <w:b w:val="0"/>
          <w:color w:val="000000"/>
          <w:sz w:val="24"/>
          <w:lang w:val="lt-LT"/>
        </w:rPr>
      </w:pPr>
      <w:bookmarkStart w:id="27" w:name="_Toc256000083"/>
      <w:r w:rsidRPr="009201B2">
        <w:rPr>
          <w:b w:val="0"/>
          <w:color w:val="000000"/>
          <w:sz w:val="24"/>
          <w:lang w:val="lt-LT"/>
        </w:rPr>
        <w:t>4 lentelė. Preliminarus paskirstymas</w:t>
      </w:r>
      <w:bookmarkEnd w:id="27"/>
    </w:p>
    <w:p w14:paraId="54E3115F"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4903"/>
        <w:gridCol w:w="2491"/>
      </w:tblGrid>
      <w:tr w:rsidR="00535D32" w:rsidRPr="009201B2" w14:paraId="3D94C01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E5676" w14:textId="77777777" w:rsidR="00A77B3E" w:rsidRPr="009201B2" w:rsidRDefault="00003C2A">
            <w:pPr>
              <w:spacing w:before="100"/>
              <w:rPr>
                <w:color w:val="000000"/>
                <w:sz w:val="20"/>
                <w:lang w:val="lt-LT"/>
              </w:rPr>
            </w:pPr>
            <w:r w:rsidRPr="009201B2">
              <w:rPr>
                <w:color w:val="000000"/>
                <w:sz w:val="20"/>
                <w:lang w:val="lt-LT"/>
              </w:rPr>
              <w:t>Priemonių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7A463" w14:textId="77777777" w:rsidR="00A77B3E" w:rsidRPr="009201B2" w:rsidRDefault="00003C2A">
            <w:pPr>
              <w:spacing w:before="100"/>
              <w:rPr>
                <w:color w:val="000000"/>
                <w:sz w:val="20"/>
                <w:lang w:val="lt-LT"/>
              </w:rPr>
            </w:pPr>
            <w:r w:rsidRPr="009201B2">
              <w:rPr>
                <w:color w:val="000000"/>
                <w:sz w:val="20"/>
                <w:lang w:val="lt-LT"/>
              </w:rPr>
              <w:t>Kodas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A5AA7" w14:textId="77777777" w:rsidR="00A77B3E" w:rsidRPr="009201B2" w:rsidRDefault="00003C2A">
            <w:pPr>
              <w:spacing w:before="100"/>
              <w:jc w:val="right"/>
              <w:rPr>
                <w:color w:val="000000"/>
                <w:sz w:val="20"/>
                <w:lang w:val="lt-LT"/>
              </w:rPr>
            </w:pPr>
            <w:r w:rsidRPr="009201B2">
              <w:rPr>
                <w:color w:val="000000"/>
                <w:sz w:val="20"/>
                <w:lang w:val="lt-LT"/>
              </w:rPr>
              <w:t>Orientacinė suma (eurais)</w:t>
            </w:r>
          </w:p>
        </w:tc>
      </w:tr>
      <w:tr w:rsidR="00535D32" w:rsidRPr="009201B2" w14:paraId="301E09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90859" w14:textId="77777777" w:rsidR="00A77B3E" w:rsidRPr="009201B2" w:rsidRDefault="00003C2A">
            <w:pPr>
              <w:spacing w:before="100"/>
              <w:rPr>
                <w:color w:val="000000"/>
                <w:sz w:val="20"/>
                <w:lang w:val="lt-LT"/>
              </w:rPr>
            </w:pPr>
            <w:r w:rsidRPr="009201B2">
              <w:rPr>
                <w:color w:val="000000"/>
                <w:sz w:val="20"/>
                <w:lang w:val="lt-LT"/>
              </w:rPr>
              <w:t>Intervencinių priemonių sritis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1EC57" w14:textId="77777777" w:rsidR="00A77B3E" w:rsidRPr="009201B2" w:rsidRDefault="00003C2A">
            <w:pPr>
              <w:spacing w:before="100"/>
              <w:rPr>
                <w:color w:val="000000"/>
                <w:sz w:val="20"/>
                <w:lang w:val="lt-LT"/>
              </w:rPr>
            </w:pPr>
            <w:r w:rsidRPr="009201B2">
              <w:rPr>
                <w:color w:val="000000"/>
                <w:sz w:val="20"/>
                <w:lang w:val="lt-LT"/>
              </w:rPr>
              <w:t>034.Informavimas ir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48D50" w14:textId="77777777" w:rsidR="00A77B3E" w:rsidRPr="009201B2" w:rsidRDefault="00003C2A">
            <w:pPr>
              <w:spacing w:before="100"/>
              <w:jc w:val="right"/>
              <w:rPr>
                <w:color w:val="000000"/>
                <w:sz w:val="20"/>
                <w:lang w:val="lt-LT"/>
              </w:rPr>
            </w:pPr>
            <w:r w:rsidRPr="009201B2">
              <w:rPr>
                <w:color w:val="000000"/>
                <w:sz w:val="20"/>
                <w:lang w:val="lt-LT"/>
              </w:rPr>
              <w:t>157 000,00</w:t>
            </w:r>
          </w:p>
        </w:tc>
      </w:tr>
      <w:tr w:rsidR="00535D32" w:rsidRPr="009201B2" w14:paraId="58FC0A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ACDD8" w14:textId="77777777" w:rsidR="00A77B3E" w:rsidRPr="009201B2" w:rsidRDefault="00003C2A">
            <w:pPr>
              <w:spacing w:before="100"/>
              <w:rPr>
                <w:color w:val="000000"/>
                <w:sz w:val="20"/>
                <w:lang w:val="lt-LT"/>
              </w:rPr>
            </w:pPr>
            <w:r w:rsidRPr="009201B2">
              <w:rPr>
                <w:color w:val="000000"/>
                <w:sz w:val="20"/>
                <w:lang w:val="lt-LT"/>
              </w:rPr>
              <w:t>Intervencinių priemonių sritis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797C2" w14:textId="77777777" w:rsidR="00A77B3E" w:rsidRPr="009201B2" w:rsidRDefault="00003C2A">
            <w:pPr>
              <w:spacing w:before="100"/>
              <w:rPr>
                <w:color w:val="000000"/>
                <w:sz w:val="20"/>
                <w:lang w:val="lt-LT"/>
              </w:rPr>
            </w:pPr>
            <w:r w:rsidRPr="009201B2">
              <w:rPr>
                <w:color w:val="000000"/>
                <w:sz w:val="20"/>
                <w:lang w:val="lt-LT"/>
              </w:rPr>
              <w:t>035.Rengimas, įgyvendinimas, stebėsena ir kontrolė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5C179" w14:textId="77777777" w:rsidR="00A77B3E" w:rsidRPr="009201B2" w:rsidRDefault="00003C2A">
            <w:pPr>
              <w:spacing w:before="100"/>
              <w:jc w:val="right"/>
              <w:rPr>
                <w:color w:val="000000"/>
                <w:sz w:val="20"/>
                <w:lang w:val="lt-LT"/>
              </w:rPr>
            </w:pPr>
            <w:r w:rsidRPr="009201B2">
              <w:rPr>
                <w:color w:val="000000"/>
                <w:sz w:val="20"/>
                <w:lang w:val="lt-LT"/>
              </w:rPr>
              <w:t>1 318 114,86</w:t>
            </w:r>
          </w:p>
        </w:tc>
      </w:tr>
      <w:tr w:rsidR="00535D32" w:rsidRPr="009201B2" w14:paraId="471A94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F9500" w14:textId="77777777" w:rsidR="00A77B3E" w:rsidRPr="009201B2" w:rsidRDefault="00003C2A">
            <w:pPr>
              <w:spacing w:before="100"/>
              <w:rPr>
                <w:color w:val="000000"/>
                <w:sz w:val="20"/>
                <w:lang w:val="lt-LT"/>
              </w:rPr>
            </w:pPr>
            <w:r w:rsidRPr="009201B2">
              <w:rPr>
                <w:color w:val="000000"/>
                <w:sz w:val="20"/>
                <w:lang w:val="lt-LT"/>
              </w:rPr>
              <w:t>Intervencinių priemonių sritis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3F85E" w14:textId="77777777" w:rsidR="00A77B3E" w:rsidRPr="009201B2" w:rsidRDefault="00003C2A">
            <w:pPr>
              <w:spacing w:before="100"/>
              <w:rPr>
                <w:color w:val="000000"/>
                <w:sz w:val="20"/>
                <w:lang w:val="lt-LT"/>
              </w:rPr>
            </w:pPr>
            <w:r w:rsidRPr="009201B2">
              <w:rPr>
                <w:color w:val="000000"/>
                <w:sz w:val="20"/>
                <w:lang w:val="lt-LT"/>
              </w:rPr>
              <w:t>036.Vertinimas ir tyrimai, duomenų rinkimas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C000D" w14:textId="77777777" w:rsidR="00A77B3E" w:rsidRPr="009201B2" w:rsidRDefault="00003C2A">
            <w:pPr>
              <w:spacing w:before="100"/>
              <w:jc w:val="right"/>
              <w:rPr>
                <w:color w:val="000000"/>
                <w:sz w:val="20"/>
                <w:lang w:val="lt-LT"/>
              </w:rPr>
            </w:pPr>
            <w:r w:rsidRPr="009201B2">
              <w:rPr>
                <w:color w:val="000000"/>
                <w:sz w:val="20"/>
                <w:lang w:val="lt-LT"/>
              </w:rPr>
              <w:t>100 000,00</w:t>
            </w:r>
          </w:p>
        </w:tc>
      </w:tr>
      <w:tr w:rsidR="00535D32" w:rsidRPr="009201B2" w14:paraId="5DAB72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7C31B" w14:textId="77777777" w:rsidR="00A77B3E" w:rsidRPr="009201B2" w:rsidRDefault="00003C2A">
            <w:pPr>
              <w:spacing w:before="100"/>
              <w:rPr>
                <w:color w:val="000000"/>
                <w:sz w:val="20"/>
                <w:lang w:val="lt-LT"/>
              </w:rPr>
            </w:pPr>
            <w:r w:rsidRPr="009201B2">
              <w:rPr>
                <w:color w:val="000000"/>
                <w:sz w:val="20"/>
                <w:lang w:val="lt-LT"/>
              </w:rPr>
              <w:t>Intervencinių priemonių sritis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4D60C" w14:textId="77777777" w:rsidR="00A77B3E" w:rsidRPr="009201B2" w:rsidRDefault="00003C2A">
            <w:pPr>
              <w:spacing w:before="100"/>
              <w:rPr>
                <w:color w:val="000000"/>
                <w:sz w:val="20"/>
                <w:lang w:val="lt-LT"/>
              </w:rPr>
            </w:pPr>
            <w:r w:rsidRPr="009201B2">
              <w:rPr>
                <w:color w:val="000000"/>
                <w:sz w:val="20"/>
                <w:lang w:val="lt-LT"/>
              </w:rPr>
              <w:t>037.Pajėgumų stiprinimas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47222" w14:textId="77777777" w:rsidR="00A77B3E" w:rsidRPr="009201B2" w:rsidRDefault="00003C2A">
            <w:pPr>
              <w:spacing w:before="100"/>
              <w:jc w:val="right"/>
              <w:rPr>
                <w:color w:val="000000"/>
                <w:sz w:val="20"/>
                <w:lang w:val="lt-LT"/>
              </w:rPr>
            </w:pPr>
            <w:r w:rsidRPr="009201B2">
              <w:rPr>
                <w:color w:val="000000"/>
                <w:sz w:val="20"/>
                <w:lang w:val="lt-LT"/>
              </w:rPr>
              <w:t>120 231,97</w:t>
            </w:r>
          </w:p>
        </w:tc>
      </w:tr>
    </w:tbl>
    <w:p w14:paraId="1546CF95" w14:textId="77777777" w:rsidR="00A77B3E" w:rsidRPr="009201B2" w:rsidRDefault="00A77B3E">
      <w:pPr>
        <w:spacing w:before="100"/>
        <w:rPr>
          <w:color w:val="000000"/>
          <w:sz w:val="20"/>
          <w:lang w:val="lt-LT"/>
        </w:rPr>
        <w:sectPr w:rsidR="00A77B3E" w:rsidRPr="009201B2">
          <w:pgSz w:w="11906" w:h="16838"/>
          <w:pgMar w:top="720" w:right="936" w:bottom="864" w:left="720" w:header="0" w:footer="72" w:gutter="0"/>
          <w:cols w:space="720"/>
          <w:noEndnote/>
          <w:docGrid w:linePitch="360"/>
        </w:sectPr>
      </w:pPr>
    </w:p>
    <w:p w14:paraId="58964E4F"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28" w:name="_Toc256000084"/>
      <w:r w:rsidRPr="009201B2">
        <w:rPr>
          <w:rFonts w:ascii="Times New Roman" w:hAnsi="Times New Roman" w:cs="Times New Roman"/>
          <w:b w:val="0"/>
          <w:color w:val="000000"/>
          <w:sz w:val="24"/>
          <w:lang w:val="lt-LT"/>
        </w:rPr>
        <w:lastRenderedPageBreak/>
        <w:t>3. Finansavimo planas</w:t>
      </w:r>
      <w:bookmarkEnd w:id="28"/>
    </w:p>
    <w:p w14:paraId="19471BF8" w14:textId="77777777" w:rsidR="00A77B3E" w:rsidRPr="009201B2" w:rsidRDefault="00003C2A">
      <w:pPr>
        <w:spacing w:before="100"/>
        <w:rPr>
          <w:color w:val="000000"/>
          <w:sz w:val="12"/>
          <w:lang w:val="lt-LT"/>
        </w:rPr>
      </w:pPr>
      <w:r w:rsidRPr="009201B2">
        <w:rPr>
          <w:color w:val="000000"/>
          <w:lang w:val="lt-LT"/>
        </w:rPr>
        <w:t>Nuoroda: BNR 22 straipsnio 3 dalies g punktas</w:t>
      </w:r>
    </w:p>
    <w:p w14:paraId="5808C8D1"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29" w:name="_Toc256000085"/>
      <w:r w:rsidRPr="009201B2">
        <w:rPr>
          <w:rFonts w:ascii="Times New Roman" w:hAnsi="Times New Roman" w:cs="Times New Roman"/>
          <w:b w:val="0"/>
          <w:i w:val="0"/>
          <w:color w:val="000000"/>
          <w:sz w:val="24"/>
          <w:lang w:val="lt-LT"/>
        </w:rPr>
        <w:t>3.1. Finansiniai asignavimai pagal metus</w:t>
      </w:r>
      <w:bookmarkEnd w:id="29"/>
    </w:p>
    <w:p w14:paraId="640CDDF4" w14:textId="77777777" w:rsidR="00A77B3E" w:rsidRPr="009201B2" w:rsidRDefault="00003C2A">
      <w:pPr>
        <w:pStyle w:val="Antrat4"/>
        <w:spacing w:before="100" w:after="0"/>
        <w:rPr>
          <w:b w:val="0"/>
          <w:color w:val="000000"/>
          <w:sz w:val="24"/>
          <w:lang w:val="lt-LT"/>
        </w:rPr>
      </w:pPr>
      <w:bookmarkStart w:id="30" w:name="_Toc256000086"/>
      <w:r w:rsidRPr="009201B2">
        <w:rPr>
          <w:b w:val="0"/>
          <w:color w:val="000000"/>
          <w:sz w:val="24"/>
          <w:lang w:val="lt-LT"/>
        </w:rPr>
        <w:t>5 lentelė. Finansiniai asignavimai pagal metus</w:t>
      </w:r>
      <w:bookmarkEnd w:id="30"/>
    </w:p>
    <w:p w14:paraId="5CABC649" w14:textId="77777777" w:rsidR="00A77B3E" w:rsidRPr="009201B2" w:rsidRDefault="00A77B3E">
      <w:pPr>
        <w:spacing w:before="100"/>
        <w:rPr>
          <w:color w:val="000000"/>
          <w:sz w:val="12"/>
          <w:lang w:val="lt-LT"/>
        </w:rPr>
      </w:pPr>
    </w:p>
    <w:p w14:paraId="44E2C6E5" w14:textId="77777777" w:rsidR="00A77B3E" w:rsidRPr="009201B2" w:rsidRDefault="00A77B3E">
      <w:pPr>
        <w:spacing w:before="100"/>
        <w:rPr>
          <w:color w:val="00000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372"/>
        <w:gridCol w:w="1372"/>
        <w:gridCol w:w="1371"/>
        <w:gridCol w:w="1371"/>
        <w:gridCol w:w="1371"/>
        <w:gridCol w:w="1371"/>
        <w:gridCol w:w="1371"/>
        <w:gridCol w:w="1692"/>
      </w:tblGrid>
      <w:tr w:rsidR="00535D32" w:rsidRPr="009201B2" w14:paraId="1EB6838C"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F51A01" w14:textId="77777777" w:rsidR="00A77B3E" w:rsidRPr="009201B2" w:rsidRDefault="00003C2A">
            <w:pPr>
              <w:spacing w:before="100"/>
              <w:jc w:val="center"/>
              <w:rPr>
                <w:color w:val="000000"/>
                <w:sz w:val="16"/>
                <w:lang w:val="lt-LT"/>
              </w:rPr>
            </w:pPr>
            <w:r w:rsidRPr="009201B2">
              <w:rPr>
                <w:color w:val="000000"/>
                <w:sz w:val="16"/>
                <w:lang w:val="lt-LT"/>
              </w:rPr>
              <w:t>Asignavimo rūšis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377E6" w14:textId="77777777" w:rsidR="00A77B3E" w:rsidRPr="009201B2" w:rsidRDefault="00003C2A">
            <w:pPr>
              <w:spacing w:before="100"/>
              <w:jc w:val="center"/>
              <w:rPr>
                <w:color w:val="000000"/>
                <w:sz w:val="16"/>
                <w:lang w:val="lt-LT"/>
              </w:rPr>
            </w:pPr>
            <w:r w:rsidRPr="009201B2">
              <w:rPr>
                <w:color w:val="000000"/>
                <w:sz w:val="16"/>
                <w:lang w:val="lt-LT"/>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B7CBD" w14:textId="77777777" w:rsidR="00A77B3E" w:rsidRPr="009201B2" w:rsidRDefault="00003C2A">
            <w:pPr>
              <w:spacing w:before="100"/>
              <w:jc w:val="center"/>
              <w:rPr>
                <w:color w:val="000000"/>
                <w:sz w:val="16"/>
                <w:lang w:val="lt-LT"/>
              </w:rPr>
            </w:pPr>
            <w:r w:rsidRPr="009201B2">
              <w:rPr>
                <w:color w:val="000000"/>
                <w:sz w:val="16"/>
                <w:lang w:val="lt-LT"/>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D0B64" w14:textId="77777777" w:rsidR="00A77B3E" w:rsidRPr="009201B2" w:rsidRDefault="00003C2A">
            <w:pPr>
              <w:spacing w:before="100"/>
              <w:jc w:val="center"/>
              <w:rPr>
                <w:color w:val="000000"/>
                <w:sz w:val="16"/>
                <w:lang w:val="lt-LT"/>
              </w:rPr>
            </w:pPr>
            <w:r w:rsidRPr="009201B2">
              <w:rPr>
                <w:color w:val="000000"/>
                <w:sz w:val="16"/>
                <w:lang w:val="lt-LT"/>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AAE607" w14:textId="77777777" w:rsidR="00A77B3E" w:rsidRPr="009201B2" w:rsidRDefault="00003C2A">
            <w:pPr>
              <w:spacing w:before="100"/>
              <w:jc w:val="center"/>
              <w:rPr>
                <w:color w:val="000000"/>
                <w:sz w:val="16"/>
                <w:lang w:val="lt-LT"/>
              </w:rPr>
            </w:pPr>
            <w:r w:rsidRPr="009201B2">
              <w:rPr>
                <w:color w:val="000000"/>
                <w:sz w:val="16"/>
                <w:lang w:val="lt-LT"/>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476731" w14:textId="77777777" w:rsidR="00A77B3E" w:rsidRPr="009201B2" w:rsidRDefault="00003C2A">
            <w:pPr>
              <w:spacing w:before="100"/>
              <w:jc w:val="center"/>
              <w:rPr>
                <w:color w:val="000000"/>
                <w:sz w:val="16"/>
                <w:lang w:val="lt-LT"/>
              </w:rPr>
            </w:pPr>
            <w:r w:rsidRPr="009201B2">
              <w:rPr>
                <w:color w:val="000000"/>
                <w:sz w:val="16"/>
                <w:lang w:val="lt-LT"/>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4EBC09" w14:textId="77777777" w:rsidR="00A77B3E" w:rsidRPr="009201B2" w:rsidRDefault="00003C2A">
            <w:pPr>
              <w:spacing w:before="100"/>
              <w:jc w:val="center"/>
              <w:rPr>
                <w:color w:val="000000"/>
                <w:sz w:val="16"/>
                <w:lang w:val="lt-LT"/>
              </w:rPr>
            </w:pPr>
            <w:r w:rsidRPr="009201B2">
              <w:rPr>
                <w:color w:val="000000"/>
                <w:sz w:val="16"/>
                <w:lang w:val="lt-LT"/>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907B36" w14:textId="77777777" w:rsidR="00A77B3E" w:rsidRPr="009201B2" w:rsidRDefault="00003C2A">
            <w:pPr>
              <w:spacing w:before="100"/>
              <w:jc w:val="center"/>
              <w:rPr>
                <w:color w:val="000000"/>
                <w:sz w:val="16"/>
                <w:lang w:val="lt-LT"/>
              </w:rPr>
            </w:pPr>
            <w:r w:rsidRPr="009201B2">
              <w:rPr>
                <w:color w:val="000000"/>
                <w:sz w:val="16"/>
                <w:lang w:val="lt-LT"/>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D3AD92" w14:textId="77777777" w:rsidR="00A77B3E" w:rsidRPr="009201B2" w:rsidRDefault="00003C2A">
            <w:pPr>
              <w:spacing w:before="100"/>
              <w:jc w:val="center"/>
              <w:rPr>
                <w:color w:val="000000"/>
                <w:sz w:val="16"/>
                <w:lang w:val="lt-LT"/>
              </w:rPr>
            </w:pPr>
            <w:r w:rsidRPr="009201B2">
              <w:rPr>
                <w:color w:val="000000"/>
                <w:sz w:val="16"/>
                <w:lang w:val="lt-LT"/>
              </w:rPr>
              <w:t>Iš viso</w:t>
            </w:r>
          </w:p>
        </w:tc>
      </w:tr>
      <w:tr w:rsidR="00535D32" w:rsidRPr="009201B2" w14:paraId="06C2B9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14C9A" w14:textId="77777777" w:rsidR="00A77B3E" w:rsidRPr="009201B2" w:rsidRDefault="00003C2A">
            <w:pPr>
              <w:spacing w:before="100"/>
              <w:rPr>
                <w:color w:val="000000"/>
                <w:sz w:val="16"/>
                <w:lang w:val="lt-LT"/>
              </w:rPr>
            </w:pPr>
            <w:r w:rsidRPr="009201B2">
              <w:rPr>
                <w:color w:val="000000"/>
                <w:sz w:val="16"/>
                <w:lang w:val="lt-LT"/>
              </w:rPr>
              <w:t>Iš viso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4995F"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C9ACB"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B29F4"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51EB3"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7A78C"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37CA0"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C0ED01" w14:textId="77777777" w:rsidR="00A77B3E" w:rsidRPr="009201B2" w:rsidRDefault="00A77B3E">
            <w:pPr>
              <w:spacing w:before="100"/>
              <w:jc w:val="right"/>
              <w:rPr>
                <w:color w:val="000000"/>
                <w:sz w:val="16"/>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101E6" w14:textId="77777777" w:rsidR="00A77B3E" w:rsidRPr="009201B2" w:rsidRDefault="00A77B3E">
            <w:pPr>
              <w:spacing w:before="100"/>
              <w:jc w:val="right"/>
              <w:rPr>
                <w:color w:val="000000"/>
                <w:sz w:val="16"/>
                <w:lang w:val="lt-LT"/>
              </w:rPr>
            </w:pPr>
          </w:p>
        </w:tc>
      </w:tr>
    </w:tbl>
    <w:p w14:paraId="775E16B4" w14:textId="77777777" w:rsidR="00A77B3E" w:rsidRPr="009201B2" w:rsidRDefault="00003C2A">
      <w:pPr>
        <w:spacing w:before="100"/>
        <w:rPr>
          <w:color w:val="000000"/>
          <w:lang w:val="lt-LT"/>
        </w:rPr>
      </w:pPr>
      <w:r w:rsidRPr="009201B2">
        <w:rPr>
          <w:color w:val="000000"/>
          <w:sz w:val="16"/>
          <w:lang w:val="lt-LT"/>
        </w:rPr>
        <w:br w:type="page"/>
      </w:r>
    </w:p>
    <w:p w14:paraId="6F99EA8E"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31" w:name="_Toc256000087"/>
      <w:r w:rsidRPr="009201B2">
        <w:rPr>
          <w:rFonts w:ascii="Times New Roman" w:hAnsi="Times New Roman" w:cs="Times New Roman"/>
          <w:b w:val="0"/>
          <w:i w:val="0"/>
          <w:color w:val="000000"/>
          <w:sz w:val="24"/>
          <w:lang w:val="lt-LT"/>
        </w:rPr>
        <w:lastRenderedPageBreak/>
        <w:t>3.2. Visi finansiniai asignavimai</w:t>
      </w:r>
      <w:bookmarkEnd w:id="31"/>
    </w:p>
    <w:p w14:paraId="7EC82A77" w14:textId="77777777" w:rsidR="00A77B3E" w:rsidRPr="009201B2" w:rsidRDefault="00003C2A">
      <w:pPr>
        <w:pStyle w:val="Antrat4"/>
        <w:spacing w:before="100" w:after="0"/>
        <w:rPr>
          <w:b w:val="0"/>
          <w:color w:val="000000"/>
          <w:sz w:val="24"/>
          <w:lang w:val="lt-LT"/>
        </w:rPr>
      </w:pPr>
      <w:bookmarkStart w:id="32" w:name="_Toc256000088"/>
      <w:r w:rsidRPr="009201B2">
        <w:rPr>
          <w:b w:val="0"/>
          <w:color w:val="000000"/>
          <w:sz w:val="24"/>
          <w:lang w:val="lt-LT"/>
        </w:rPr>
        <w:t>6 lentelė. Visi finansiniai asignavimai pagal fondą ir nacionalinis įnašas</w:t>
      </w:r>
      <w:bookmarkEnd w:id="32"/>
    </w:p>
    <w:p w14:paraId="60121230" w14:textId="77777777" w:rsidR="00A77B3E" w:rsidRPr="009201B2" w:rsidRDefault="00A77B3E">
      <w:pPr>
        <w:spacing w:before="100"/>
        <w:rPr>
          <w:color w:val="000000"/>
          <w:sz w:val="12"/>
          <w:lang w:val="lt-LT"/>
        </w:rPr>
      </w:pPr>
    </w:p>
    <w:p w14:paraId="30509820" w14:textId="77777777" w:rsidR="00A77B3E" w:rsidRPr="009201B2" w:rsidRDefault="00A77B3E">
      <w:pPr>
        <w:spacing w:before="100"/>
        <w:rPr>
          <w:color w:val="00000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518"/>
        <w:gridCol w:w="1517"/>
        <w:gridCol w:w="1517"/>
        <w:gridCol w:w="1517"/>
        <w:gridCol w:w="1517"/>
        <w:gridCol w:w="1517"/>
        <w:gridCol w:w="1517"/>
        <w:gridCol w:w="1517"/>
      </w:tblGrid>
      <w:tr w:rsidR="00535D32" w:rsidRPr="009201B2" w14:paraId="227932B5" w14:textId="77777777">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8D18E" w14:textId="77777777" w:rsidR="00A77B3E" w:rsidRPr="009201B2" w:rsidRDefault="00003C2A">
            <w:pPr>
              <w:spacing w:before="100"/>
              <w:jc w:val="center"/>
              <w:rPr>
                <w:color w:val="000000"/>
                <w:sz w:val="16"/>
                <w:lang w:val="lt-LT"/>
              </w:rPr>
            </w:pPr>
            <w:r w:rsidRPr="009201B2">
              <w:rPr>
                <w:color w:val="000000"/>
                <w:sz w:val="16"/>
                <w:lang w:val="lt-LT"/>
              </w:rPr>
              <w:t>Konkretus tikslas (KT)</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BBE477" w14:textId="77777777" w:rsidR="00A77B3E" w:rsidRPr="009201B2" w:rsidRDefault="00003C2A">
            <w:pPr>
              <w:spacing w:before="100"/>
              <w:jc w:val="center"/>
              <w:rPr>
                <w:color w:val="000000"/>
                <w:sz w:val="16"/>
                <w:lang w:val="lt-LT"/>
              </w:rPr>
            </w:pPr>
            <w:r w:rsidRPr="009201B2">
              <w:rPr>
                <w:color w:val="000000"/>
                <w:sz w:val="16"/>
                <w:lang w:val="lt-LT"/>
              </w:rPr>
              <w:t>Veiksmų rūšis</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3885B2" w14:textId="77777777" w:rsidR="00A77B3E" w:rsidRPr="009201B2" w:rsidRDefault="00003C2A">
            <w:pPr>
              <w:spacing w:before="100"/>
              <w:jc w:val="center"/>
              <w:rPr>
                <w:color w:val="000000"/>
                <w:sz w:val="16"/>
                <w:lang w:val="lt-LT"/>
              </w:rPr>
            </w:pPr>
            <w:r w:rsidRPr="009201B2">
              <w:rPr>
                <w:color w:val="000000"/>
                <w:sz w:val="16"/>
                <w:lang w:val="lt-LT"/>
              </w:rPr>
              <w:t>Sąjungos paramos (visos arba viešosios) apskaičiavimo pagrindas</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DB6AF" w14:textId="77777777" w:rsidR="00A77B3E" w:rsidRPr="009201B2" w:rsidRDefault="00003C2A">
            <w:pPr>
              <w:spacing w:before="100"/>
              <w:jc w:val="center"/>
              <w:rPr>
                <w:color w:val="000000"/>
                <w:sz w:val="16"/>
                <w:lang w:val="lt-LT"/>
              </w:rPr>
            </w:pPr>
            <w:r w:rsidRPr="009201B2">
              <w:rPr>
                <w:color w:val="000000"/>
                <w:sz w:val="16"/>
                <w:lang w:val="lt-LT"/>
              </w:rPr>
              <w:t>Sąjungos įnašas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063A2F" w14:textId="77777777" w:rsidR="00A77B3E" w:rsidRPr="009201B2" w:rsidRDefault="00003C2A">
            <w:pPr>
              <w:spacing w:before="100"/>
              <w:jc w:val="center"/>
              <w:rPr>
                <w:color w:val="000000"/>
                <w:sz w:val="16"/>
                <w:lang w:val="lt-LT"/>
              </w:rPr>
            </w:pPr>
            <w:r w:rsidRPr="009201B2">
              <w:rPr>
                <w:color w:val="000000"/>
                <w:sz w:val="16"/>
                <w:lang w:val="lt-LT"/>
              </w:rPr>
              <w:t>Nacionalinis įnašas –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F2D20C" w14:textId="77777777" w:rsidR="00A77B3E" w:rsidRPr="009201B2" w:rsidRDefault="00003C2A">
            <w:pPr>
              <w:spacing w:before="100"/>
              <w:jc w:val="center"/>
              <w:rPr>
                <w:color w:val="000000"/>
                <w:sz w:val="16"/>
                <w:lang w:val="lt-LT"/>
              </w:rPr>
            </w:pPr>
            <w:r w:rsidRPr="009201B2">
              <w:rPr>
                <w:color w:val="000000"/>
                <w:sz w:val="16"/>
                <w:lang w:val="lt-LT"/>
              </w:rPr>
              <w:t>Preliminarus nacionalinio įnašo suskirstymas</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1004F" w14:textId="77777777" w:rsidR="00A77B3E" w:rsidRPr="009201B2" w:rsidRDefault="00003C2A">
            <w:pPr>
              <w:spacing w:before="100"/>
              <w:jc w:val="center"/>
              <w:rPr>
                <w:color w:val="000000"/>
                <w:sz w:val="16"/>
                <w:lang w:val="lt-LT"/>
              </w:rPr>
            </w:pPr>
            <w:r w:rsidRPr="009201B2">
              <w:rPr>
                <w:color w:val="000000"/>
                <w:sz w:val="16"/>
                <w:lang w:val="lt-LT"/>
              </w:rPr>
              <w:t>Iš viso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5C165" w14:textId="77777777" w:rsidR="00A77B3E" w:rsidRPr="009201B2" w:rsidRDefault="00003C2A">
            <w:pPr>
              <w:spacing w:before="100"/>
              <w:jc w:val="center"/>
              <w:rPr>
                <w:color w:val="000000"/>
                <w:sz w:val="16"/>
                <w:lang w:val="lt-LT"/>
              </w:rPr>
            </w:pPr>
            <w:r w:rsidRPr="009201B2">
              <w:rPr>
                <w:color w:val="000000"/>
                <w:sz w:val="16"/>
                <w:lang w:val="lt-LT"/>
              </w:rPr>
              <w:t>Bendro finansavimo norma f = a/e</w:t>
            </w:r>
          </w:p>
        </w:tc>
      </w:tr>
      <w:tr w:rsidR="00535D32" w:rsidRPr="009201B2" w14:paraId="6B8B7A28" w14:textId="77777777">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9B1CB4" w14:textId="77777777" w:rsidR="00A77B3E" w:rsidRPr="009201B2" w:rsidRDefault="00A77B3E">
            <w:pPr>
              <w:spacing w:before="100"/>
              <w:jc w:val="center"/>
              <w:rPr>
                <w:color w:val="000000"/>
                <w:sz w:val="16"/>
                <w:lang w:val="lt-LT"/>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A8DBCA" w14:textId="77777777" w:rsidR="00A77B3E" w:rsidRPr="009201B2" w:rsidRDefault="00A77B3E">
            <w:pPr>
              <w:spacing w:before="100"/>
              <w:jc w:val="center"/>
              <w:rPr>
                <w:color w:val="000000"/>
                <w:sz w:val="16"/>
                <w:lang w:val="lt-LT"/>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04A947" w14:textId="77777777" w:rsidR="00A77B3E" w:rsidRPr="009201B2" w:rsidRDefault="00A77B3E">
            <w:pPr>
              <w:spacing w:before="100"/>
              <w:jc w:val="center"/>
              <w:rPr>
                <w:color w:val="000000"/>
                <w:sz w:val="16"/>
                <w:lang w:val="lt-LT"/>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EDAEA" w14:textId="77777777" w:rsidR="00A77B3E" w:rsidRPr="009201B2" w:rsidRDefault="00A77B3E">
            <w:pPr>
              <w:spacing w:before="100"/>
              <w:jc w:val="center"/>
              <w:rPr>
                <w:color w:val="000000"/>
                <w:sz w:val="16"/>
                <w:lang w:val="lt-LT"/>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811FD9" w14:textId="77777777" w:rsidR="00A77B3E" w:rsidRPr="009201B2" w:rsidRDefault="00A77B3E">
            <w:pPr>
              <w:spacing w:before="100"/>
              <w:jc w:val="center"/>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AF7D54" w14:textId="77777777" w:rsidR="00A77B3E" w:rsidRPr="009201B2" w:rsidRDefault="00003C2A">
            <w:pPr>
              <w:spacing w:before="100"/>
              <w:jc w:val="center"/>
              <w:rPr>
                <w:color w:val="000000"/>
                <w:sz w:val="16"/>
                <w:lang w:val="lt-LT"/>
              </w:rPr>
            </w:pPr>
            <w:r w:rsidRPr="009201B2">
              <w:rPr>
                <w:color w:val="000000"/>
                <w:sz w:val="16"/>
                <w:lang w:val="lt-LT"/>
              </w:rPr>
              <w:t>Viešasis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7F3E2" w14:textId="77777777" w:rsidR="00A77B3E" w:rsidRPr="009201B2" w:rsidRDefault="00003C2A">
            <w:pPr>
              <w:spacing w:before="100"/>
              <w:jc w:val="center"/>
              <w:rPr>
                <w:color w:val="000000"/>
                <w:sz w:val="16"/>
                <w:lang w:val="lt-LT"/>
              </w:rPr>
            </w:pPr>
            <w:r w:rsidRPr="009201B2">
              <w:rPr>
                <w:color w:val="000000"/>
                <w:sz w:val="16"/>
                <w:lang w:val="lt-LT"/>
              </w:rPr>
              <w:t>Privatusis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03DBF2" w14:textId="77777777" w:rsidR="00A77B3E" w:rsidRPr="009201B2" w:rsidRDefault="00A77B3E">
            <w:pPr>
              <w:spacing w:before="100"/>
              <w:jc w:val="center"/>
              <w:rPr>
                <w:color w:val="000000"/>
                <w:sz w:val="16"/>
                <w:lang w:val="lt-LT"/>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19D19F" w14:textId="77777777" w:rsidR="00A77B3E" w:rsidRPr="009201B2" w:rsidRDefault="00A77B3E">
            <w:pPr>
              <w:spacing w:before="100"/>
              <w:jc w:val="center"/>
              <w:rPr>
                <w:color w:val="000000"/>
                <w:sz w:val="16"/>
                <w:lang w:val="lt-LT"/>
              </w:rPr>
            </w:pPr>
          </w:p>
        </w:tc>
      </w:tr>
      <w:tr w:rsidR="00535D32" w:rsidRPr="009201B2" w14:paraId="28993C2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A2F9D" w14:textId="77777777" w:rsidR="00A77B3E" w:rsidRPr="009201B2" w:rsidRDefault="00003C2A">
            <w:pPr>
              <w:spacing w:before="100"/>
              <w:rPr>
                <w:color w:val="000000"/>
                <w:sz w:val="16"/>
                <w:lang w:val="lt-LT"/>
              </w:rPr>
            </w:pPr>
            <w:r w:rsidRPr="009201B2">
              <w:rPr>
                <w:color w:val="000000"/>
                <w:sz w:val="16"/>
                <w:lang w:val="lt-LT"/>
              </w:rPr>
              <w:t>Keitimąsis informacija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18735" w14:textId="77777777" w:rsidR="00A77B3E" w:rsidRPr="009201B2" w:rsidRDefault="00003C2A">
            <w:pPr>
              <w:spacing w:before="100"/>
              <w:rPr>
                <w:color w:val="000000"/>
                <w:sz w:val="16"/>
                <w:lang w:val="lt-LT"/>
              </w:rPr>
            </w:pPr>
            <w:r w:rsidRPr="009201B2">
              <w:rPr>
                <w:color w:val="000000"/>
                <w:sz w:val="16"/>
                <w:lang w:val="lt-LT"/>
              </w:rPr>
              <w:t>Įprasti veiksmai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CC8AF"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B9F8A" w14:textId="77777777" w:rsidR="00A77B3E" w:rsidRPr="009201B2" w:rsidRDefault="00003C2A">
            <w:pPr>
              <w:spacing w:before="100"/>
              <w:jc w:val="right"/>
              <w:rPr>
                <w:color w:val="000000"/>
                <w:sz w:val="16"/>
                <w:lang w:val="lt-LT"/>
              </w:rPr>
            </w:pPr>
            <w:r w:rsidRPr="009201B2">
              <w:rPr>
                <w:color w:val="000000"/>
                <w:sz w:val="16"/>
                <w:lang w:val="lt-LT"/>
              </w:rPr>
              <w:t>17 537 400,00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4534A" w14:textId="77777777" w:rsidR="00A77B3E" w:rsidRPr="009201B2" w:rsidRDefault="00003C2A">
            <w:pPr>
              <w:spacing w:before="100"/>
              <w:jc w:val="right"/>
              <w:rPr>
                <w:color w:val="000000"/>
                <w:sz w:val="16"/>
                <w:lang w:val="lt-LT"/>
              </w:rPr>
            </w:pPr>
            <w:r w:rsidRPr="009201B2">
              <w:rPr>
                <w:color w:val="000000"/>
                <w:sz w:val="16"/>
                <w:lang w:val="lt-LT"/>
              </w:rPr>
              <w:t>5 845 800,00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C15C5" w14:textId="77777777" w:rsidR="00A77B3E" w:rsidRPr="009201B2" w:rsidRDefault="00003C2A">
            <w:pPr>
              <w:spacing w:before="100"/>
              <w:jc w:val="right"/>
              <w:rPr>
                <w:color w:val="000000"/>
                <w:sz w:val="16"/>
                <w:lang w:val="lt-LT"/>
              </w:rPr>
            </w:pPr>
            <w:r w:rsidRPr="009201B2">
              <w:rPr>
                <w:color w:val="000000"/>
                <w:sz w:val="16"/>
                <w:lang w:val="lt-LT"/>
              </w:rPr>
              <w:t>5 845 800,00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C293F"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700F9" w14:textId="77777777" w:rsidR="00A77B3E" w:rsidRPr="009201B2" w:rsidRDefault="00003C2A">
            <w:pPr>
              <w:spacing w:before="100"/>
              <w:jc w:val="right"/>
              <w:rPr>
                <w:color w:val="000000"/>
                <w:sz w:val="16"/>
                <w:lang w:val="lt-LT"/>
              </w:rPr>
            </w:pPr>
            <w:r w:rsidRPr="009201B2">
              <w:rPr>
                <w:color w:val="000000"/>
                <w:sz w:val="16"/>
                <w:lang w:val="lt-LT"/>
              </w:rPr>
              <w:t>23 383 200,00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D14F2" w14:textId="77777777" w:rsidR="00A77B3E" w:rsidRPr="009201B2" w:rsidRDefault="00003C2A">
            <w:pPr>
              <w:spacing w:before="100"/>
              <w:jc w:val="right"/>
              <w:rPr>
                <w:color w:val="000000"/>
                <w:sz w:val="16"/>
                <w:lang w:val="lt-LT"/>
              </w:rPr>
            </w:pPr>
            <w:r w:rsidRPr="009201B2">
              <w:rPr>
                <w:color w:val="000000"/>
                <w:sz w:val="16"/>
                <w:lang w:val="lt-LT"/>
              </w:rPr>
              <w:t>75,0000000000%</w:t>
            </w:r>
          </w:p>
        </w:tc>
      </w:tr>
      <w:tr w:rsidR="00535D32" w:rsidRPr="009201B2" w14:paraId="1ACAE0D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4FBB6" w14:textId="77777777" w:rsidR="00A77B3E" w:rsidRPr="009201B2" w:rsidRDefault="00003C2A">
            <w:pPr>
              <w:spacing w:before="100"/>
              <w:rPr>
                <w:color w:val="000000"/>
                <w:sz w:val="16"/>
                <w:lang w:val="lt-LT"/>
              </w:rPr>
            </w:pPr>
            <w:r w:rsidRPr="009201B2">
              <w:rPr>
                <w:color w:val="000000"/>
                <w:sz w:val="16"/>
                <w:lang w:val="lt-LT"/>
              </w:rPr>
              <w:t>Keitimąsis informacija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9254B" w14:textId="77777777" w:rsidR="00A77B3E" w:rsidRPr="009201B2" w:rsidRDefault="00003C2A">
            <w:pPr>
              <w:spacing w:before="100"/>
              <w:rPr>
                <w:color w:val="000000"/>
                <w:sz w:val="16"/>
                <w:lang w:val="lt-LT"/>
              </w:rPr>
            </w:pPr>
            <w:r w:rsidRPr="009201B2">
              <w:rPr>
                <w:color w:val="000000"/>
                <w:sz w:val="16"/>
                <w:lang w:val="lt-LT"/>
              </w:rPr>
              <w:t>Veiksmai pagal IV priedą</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8A695"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B7108"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BFDA6"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E968D"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2A9D8"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A7871"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B7100" w14:textId="77777777" w:rsidR="00A77B3E" w:rsidRPr="009201B2" w:rsidRDefault="00A77B3E">
            <w:pPr>
              <w:spacing w:before="100"/>
              <w:jc w:val="right"/>
              <w:rPr>
                <w:color w:val="000000"/>
                <w:sz w:val="16"/>
                <w:lang w:val="lt-LT"/>
              </w:rPr>
            </w:pPr>
          </w:p>
        </w:tc>
      </w:tr>
      <w:tr w:rsidR="00535D32" w:rsidRPr="009201B2" w14:paraId="36D97BEA"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0A21F" w14:textId="77777777" w:rsidR="00A77B3E" w:rsidRPr="009201B2" w:rsidRDefault="00003C2A">
            <w:pPr>
              <w:spacing w:before="100"/>
              <w:rPr>
                <w:color w:val="000000"/>
                <w:sz w:val="16"/>
                <w:lang w:val="lt-LT"/>
              </w:rPr>
            </w:pPr>
            <w:r w:rsidRPr="009201B2">
              <w:rPr>
                <w:color w:val="000000"/>
                <w:sz w:val="16"/>
                <w:lang w:val="lt-LT"/>
              </w:rPr>
              <w:t>Iš viso Keitimąsis informacija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86F6E"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7A5A7"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AD793" w14:textId="77777777" w:rsidR="00A77B3E" w:rsidRPr="009201B2" w:rsidRDefault="00003C2A">
            <w:pPr>
              <w:spacing w:before="100"/>
              <w:jc w:val="right"/>
              <w:rPr>
                <w:color w:val="000000"/>
                <w:sz w:val="16"/>
                <w:lang w:val="lt-LT"/>
              </w:rPr>
            </w:pPr>
            <w:r w:rsidRPr="009201B2">
              <w:rPr>
                <w:color w:val="000000"/>
                <w:sz w:val="16"/>
                <w:lang w:val="lt-LT"/>
              </w:rPr>
              <w:t>17 537 400,00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D0F6B" w14:textId="77777777" w:rsidR="00A77B3E" w:rsidRPr="009201B2" w:rsidRDefault="00003C2A">
            <w:pPr>
              <w:spacing w:before="100"/>
              <w:jc w:val="right"/>
              <w:rPr>
                <w:color w:val="000000"/>
                <w:sz w:val="16"/>
                <w:lang w:val="lt-LT"/>
              </w:rPr>
            </w:pPr>
            <w:r w:rsidRPr="009201B2">
              <w:rPr>
                <w:color w:val="000000"/>
                <w:sz w:val="16"/>
                <w:lang w:val="lt-LT"/>
              </w:rPr>
              <w:t>5 845 800,00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58729" w14:textId="77777777" w:rsidR="00A77B3E" w:rsidRPr="009201B2" w:rsidRDefault="00003C2A">
            <w:pPr>
              <w:spacing w:before="100"/>
              <w:jc w:val="right"/>
              <w:rPr>
                <w:color w:val="000000"/>
                <w:sz w:val="16"/>
                <w:lang w:val="lt-LT"/>
              </w:rPr>
            </w:pPr>
            <w:r w:rsidRPr="009201B2">
              <w:rPr>
                <w:color w:val="000000"/>
                <w:sz w:val="16"/>
                <w:lang w:val="lt-LT"/>
              </w:rPr>
              <w:t>5 845 800,00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F2383"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168E" w14:textId="77777777" w:rsidR="00A77B3E" w:rsidRPr="009201B2" w:rsidRDefault="00003C2A">
            <w:pPr>
              <w:spacing w:before="100"/>
              <w:jc w:val="right"/>
              <w:rPr>
                <w:color w:val="000000"/>
                <w:sz w:val="16"/>
                <w:lang w:val="lt-LT"/>
              </w:rPr>
            </w:pPr>
            <w:r w:rsidRPr="009201B2">
              <w:rPr>
                <w:color w:val="000000"/>
                <w:sz w:val="16"/>
                <w:lang w:val="lt-LT"/>
              </w:rPr>
              <w:t>23 383 200,00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827BE" w14:textId="77777777" w:rsidR="00A77B3E" w:rsidRPr="009201B2" w:rsidRDefault="00003C2A">
            <w:pPr>
              <w:spacing w:before="100"/>
              <w:jc w:val="right"/>
              <w:rPr>
                <w:color w:val="000000"/>
                <w:sz w:val="16"/>
                <w:lang w:val="lt-LT"/>
              </w:rPr>
            </w:pPr>
            <w:r w:rsidRPr="009201B2">
              <w:rPr>
                <w:color w:val="000000"/>
                <w:sz w:val="16"/>
                <w:lang w:val="lt-LT"/>
              </w:rPr>
              <w:t>75,0000000000%</w:t>
            </w:r>
          </w:p>
        </w:tc>
      </w:tr>
      <w:tr w:rsidR="00535D32" w:rsidRPr="009201B2" w14:paraId="7F7B27A0"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39C52" w14:textId="77777777" w:rsidR="00A77B3E" w:rsidRPr="009201B2" w:rsidRDefault="00003C2A">
            <w:pPr>
              <w:spacing w:before="100"/>
              <w:rPr>
                <w:color w:val="000000"/>
                <w:sz w:val="16"/>
                <w:lang w:val="lt-LT"/>
              </w:rPr>
            </w:pPr>
            <w:r w:rsidRPr="009201B2">
              <w:rPr>
                <w:color w:val="000000"/>
                <w:sz w:val="16"/>
                <w:lang w:val="lt-LT"/>
              </w:rPr>
              <w:t>Tarpvalstybinis bendradarbiavimas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0C73C" w14:textId="77777777" w:rsidR="00A77B3E" w:rsidRPr="009201B2" w:rsidRDefault="00003C2A">
            <w:pPr>
              <w:spacing w:before="100"/>
              <w:rPr>
                <w:color w:val="000000"/>
                <w:sz w:val="16"/>
                <w:lang w:val="lt-LT"/>
              </w:rPr>
            </w:pPr>
            <w:r w:rsidRPr="009201B2">
              <w:rPr>
                <w:color w:val="000000"/>
                <w:sz w:val="16"/>
                <w:lang w:val="lt-LT"/>
              </w:rPr>
              <w:t>Įprasti veiksmai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833A6"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1BAF" w14:textId="77777777" w:rsidR="00A77B3E" w:rsidRPr="009201B2" w:rsidRDefault="00003C2A">
            <w:pPr>
              <w:spacing w:before="100"/>
              <w:jc w:val="right"/>
              <w:rPr>
                <w:color w:val="000000"/>
                <w:sz w:val="16"/>
                <w:lang w:val="lt-LT"/>
              </w:rPr>
            </w:pPr>
            <w:r w:rsidRPr="009201B2">
              <w:rPr>
                <w:color w:val="000000"/>
                <w:sz w:val="16"/>
                <w:lang w:val="lt-LT"/>
              </w:rPr>
              <w:t>3 495 656,13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CBAC7" w14:textId="77777777" w:rsidR="00A77B3E" w:rsidRPr="009201B2" w:rsidRDefault="00003C2A">
            <w:pPr>
              <w:spacing w:before="100"/>
              <w:jc w:val="right"/>
              <w:rPr>
                <w:color w:val="000000"/>
                <w:sz w:val="16"/>
                <w:lang w:val="lt-LT"/>
              </w:rPr>
            </w:pPr>
            <w:r w:rsidRPr="009201B2">
              <w:rPr>
                <w:color w:val="000000"/>
                <w:sz w:val="16"/>
                <w:lang w:val="lt-LT"/>
              </w:rPr>
              <w:t>1 165 218,71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63299" w14:textId="77777777" w:rsidR="00A77B3E" w:rsidRPr="009201B2" w:rsidRDefault="00003C2A">
            <w:pPr>
              <w:spacing w:before="100"/>
              <w:jc w:val="right"/>
              <w:rPr>
                <w:color w:val="000000"/>
                <w:sz w:val="16"/>
                <w:lang w:val="lt-LT"/>
              </w:rPr>
            </w:pPr>
            <w:r w:rsidRPr="009201B2">
              <w:rPr>
                <w:color w:val="000000"/>
                <w:sz w:val="16"/>
                <w:lang w:val="lt-LT"/>
              </w:rPr>
              <w:t>1 165 218,71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FC3F1"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CBC69" w14:textId="77777777" w:rsidR="00A77B3E" w:rsidRPr="009201B2" w:rsidRDefault="00003C2A">
            <w:pPr>
              <w:spacing w:before="100"/>
              <w:jc w:val="right"/>
              <w:rPr>
                <w:color w:val="000000"/>
                <w:sz w:val="16"/>
                <w:lang w:val="lt-LT"/>
              </w:rPr>
            </w:pPr>
            <w:r w:rsidRPr="009201B2">
              <w:rPr>
                <w:color w:val="000000"/>
                <w:sz w:val="16"/>
                <w:lang w:val="lt-LT"/>
              </w:rPr>
              <w:t>4 660 874,84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4C30B" w14:textId="77777777" w:rsidR="00A77B3E" w:rsidRPr="009201B2" w:rsidRDefault="00003C2A">
            <w:pPr>
              <w:spacing w:before="100"/>
              <w:jc w:val="right"/>
              <w:rPr>
                <w:color w:val="000000"/>
                <w:sz w:val="16"/>
                <w:lang w:val="lt-LT"/>
              </w:rPr>
            </w:pPr>
            <w:r w:rsidRPr="009201B2">
              <w:rPr>
                <w:color w:val="000000"/>
                <w:sz w:val="16"/>
                <w:lang w:val="lt-LT"/>
              </w:rPr>
              <w:t>75,0000000000%</w:t>
            </w:r>
          </w:p>
        </w:tc>
      </w:tr>
      <w:tr w:rsidR="00535D32" w:rsidRPr="009201B2" w14:paraId="4A5A00B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C32E4" w14:textId="77777777" w:rsidR="00A77B3E" w:rsidRPr="009201B2" w:rsidRDefault="00003C2A">
            <w:pPr>
              <w:spacing w:before="100"/>
              <w:rPr>
                <w:color w:val="000000"/>
                <w:sz w:val="16"/>
                <w:lang w:val="lt-LT"/>
              </w:rPr>
            </w:pPr>
            <w:r w:rsidRPr="009201B2">
              <w:rPr>
                <w:color w:val="000000"/>
                <w:sz w:val="16"/>
                <w:lang w:val="lt-LT"/>
              </w:rPr>
              <w:t>Tarpvalstybinis bendradarbiavimas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921C8" w14:textId="77777777" w:rsidR="00A77B3E" w:rsidRPr="009201B2" w:rsidRDefault="00003C2A">
            <w:pPr>
              <w:spacing w:before="100"/>
              <w:rPr>
                <w:color w:val="000000"/>
                <w:sz w:val="16"/>
                <w:lang w:val="lt-LT"/>
              </w:rPr>
            </w:pPr>
            <w:r w:rsidRPr="009201B2">
              <w:rPr>
                <w:color w:val="000000"/>
                <w:sz w:val="16"/>
                <w:lang w:val="lt-LT"/>
              </w:rPr>
              <w:t>Konkretūs veiksmai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1BE0A"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44AF1" w14:textId="77777777" w:rsidR="00A77B3E" w:rsidRPr="009201B2" w:rsidRDefault="00003C2A">
            <w:pPr>
              <w:spacing w:before="100"/>
              <w:jc w:val="right"/>
              <w:rPr>
                <w:color w:val="000000"/>
                <w:sz w:val="16"/>
                <w:lang w:val="lt-LT"/>
              </w:rPr>
            </w:pPr>
            <w:r w:rsidRPr="009201B2">
              <w:rPr>
                <w:color w:val="000000"/>
                <w:sz w:val="16"/>
                <w:lang w:val="lt-LT"/>
              </w:rPr>
              <w:t>337 199,40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BDA11" w14:textId="77777777" w:rsidR="00A77B3E" w:rsidRPr="009201B2" w:rsidRDefault="00003C2A">
            <w:pPr>
              <w:spacing w:before="100"/>
              <w:jc w:val="right"/>
              <w:rPr>
                <w:color w:val="000000"/>
                <w:sz w:val="16"/>
                <w:lang w:val="lt-LT"/>
              </w:rPr>
            </w:pPr>
            <w:r w:rsidRPr="009201B2">
              <w:rPr>
                <w:color w:val="000000"/>
                <w:sz w:val="16"/>
                <w:lang w:val="lt-LT"/>
              </w:rPr>
              <w:t>37 466,60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981D7" w14:textId="77777777" w:rsidR="00A77B3E" w:rsidRPr="009201B2" w:rsidRDefault="00003C2A">
            <w:pPr>
              <w:spacing w:before="100"/>
              <w:jc w:val="right"/>
              <w:rPr>
                <w:color w:val="000000"/>
                <w:sz w:val="16"/>
                <w:lang w:val="lt-LT"/>
              </w:rPr>
            </w:pPr>
            <w:r w:rsidRPr="009201B2">
              <w:rPr>
                <w:color w:val="000000"/>
                <w:sz w:val="16"/>
                <w:lang w:val="lt-LT"/>
              </w:rPr>
              <w:t>37 466,60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6C968"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96C61" w14:textId="77777777" w:rsidR="00A77B3E" w:rsidRPr="009201B2" w:rsidRDefault="00003C2A">
            <w:pPr>
              <w:spacing w:before="100"/>
              <w:jc w:val="right"/>
              <w:rPr>
                <w:color w:val="000000"/>
                <w:sz w:val="16"/>
                <w:lang w:val="lt-LT"/>
              </w:rPr>
            </w:pPr>
            <w:r w:rsidRPr="009201B2">
              <w:rPr>
                <w:color w:val="000000"/>
                <w:sz w:val="16"/>
                <w:lang w:val="lt-LT"/>
              </w:rPr>
              <w:t>374 666,00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F97A8" w14:textId="77777777" w:rsidR="00A77B3E" w:rsidRPr="009201B2" w:rsidRDefault="00003C2A">
            <w:pPr>
              <w:spacing w:before="100"/>
              <w:jc w:val="right"/>
              <w:rPr>
                <w:color w:val="000000"/>
                <w:sz w:val="16"/>
                <w:lang w:val="lt-LT"/>
              </w:rPr>
            </w:pPr>
            <w:r w:rsidRPr="009201B2">
              <w:rPr>
                <w:color w:val="000000"/>
                <w:sz w:val="16"/>
                <w:lang w:val="lt-LT"/>
              </w:rPr>
              <w:t>90,0000000000%</w:t>
            </w:r>
          </w:p>
        </w:tc>
      </w:tr>
      <w:tr w:rsidR="00535D32" w:rsidRPr="009201B2" w14:paraId="7E02C14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B4479" w14:textId="77777777" w:rsidR="00A77B3E" w:rsidRPr="009201B2" w:rsidRDefault="00003C2A">
            <w:pPr>
              <w:spacing w:before="100"/>
              <w:rPr>
                <w:color w:val="000000"/>
                <w:sz w:val="16"/>
                <w:lang w:val="lt-LT"/>
              </w:rPr>
            </w:pPr>
            <w:r w:rsidRPr="009201B2">
              <w:rPr>
                <w:color w:val="000000"/>
                <w:sz w:val="16"/>
                <w:lang w:val="lt-LT"/>
              </w:rPr>
              <w:t>Tarpvalstybinis bendradarbiavimas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ED2C9" w14:textId="77777777" w:rsidR="00A77B3E" w:rsidRPr="009201B2" w:rsidRDefault="00003C2A">
            <w:pPr>
              <w:spacing w:before="100"/>
              <w:rPr>
                <w:color w:val="000000"/>
                <w:sz w:val="16"/>
                <w:lang w:val="lt-LT"/>
              </w:rPr>
            </w:pPr>
            <w:r w:rsidRPr="009201B2">
              <w:rPr>
                <w:color w:val="000000"/>
                <w:sz w:val="16"/>
                <w:lang w:val="lt-LT"/>
              </w:rPr>
              <w:t>Veiksmai pagal IV priedą</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95A89"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31ACD"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80CEE"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4D3DC"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0911D"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BD87C"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CC372" w14:textId="77777777" w:rsidR="00A77B3E" w:rsidRPr="009201B2" w:rsidRDefault="00A77B3E">
            <w:pPr>
              <w:spacing w:before="100"/>
              <w:jc w:val="right"/>
              <w:rPr>
                <w:color w:val="000000"/>
                <w:sz w:val="16"/>
                <w:lang w:val="lt-LT"/>
              </w:rPr>
            </w:pPr>
          </w:p>
        </w:tc>
      </w:tr>
      <w:tr w:rsidR="00535D32" w:rsidRPr="009201B2" w14:paraId="40515C17"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EC5D2" w14:textId="77777777" w:rsidR="00A77B3E" w:rsidRPr="009201B2" w:rsidRDefault="00003C2A">
            <w:pPr>
              <w:spacing w:before="100"/>
              <w:rPr>
                <w:color w:val="000000"/>
                <w:sz w:val="16"/>
                <w:lang w:val="lt-LT"/>
              </w:rPr>
            </w:pPr>
            <w:r w:rsidRPr="009201B2">
              <w:rPr>
                <w:color w:val="000000"/>
                <w:sz w:val="16"/>
                <w:lang w:val="lt-LT"/>
              </w:rPr>
              <w:t>Iš viso Tarpvalstybinis bendradarbiavimas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7E621"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4357E"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4CA69" w14:textId="77777777" w:rsidR="00A77B3E" w:rsidRPr="009201B2" w:rsidRDefault="00003C2A">
            <w:pPr>
              <w:spacing w:before="100"/>
              <w:jc w:val="right"/>
              <w:rPr>
                <w:color w:val="000000"/>
                <w:sz w:val="16"/>
                <w:lang w:val="lt-LT"/>
              </w:rPr>
            </w:pPr>
            <w:r w:rsidRPr="009201B2">
              <w:rPr>
                <w:color w:val="000000"/>
                <w:sz w:val="16"/>
                <w:lang w:val="lt-LT"/>
              </w:rPr>
              <w:t>3 832 855,53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5FB5B" w14:textId="77777777" w:rsidR="00A77B3E" w:rsidRPr="009201B2" w:rsidRDefault="00003C2A">
            <w:pPr>
              <w:spacing w:before="100"/>
              <w:jc w:val="right"/>
              <w:rPr>
                <w:color w:val="000000"/>
                <w:sz w:val="16"/>
                <w:lang w:val="lt-LT"/>
              </w:rPr>
            </w:pPr>
            <w:r w:rsidRPr="009201B2">
              <w:rPr>
                <w:color w:val="000000"/>
                <w:sz w:val="16"/>
                <w:lang w:val="lt-LT"/>
              </w:rPr>
              <w:t>1 202 685,31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8AA66" w14:textId="77777777" w:rsidR="00A77B3E" w:rsidRPr="009201B2" w:rsidRDefault="00003C2A">
            <w:pPr>
              <w:spacing w:before="100"/>
              <w:jc w:val="right"/>
              <w:rPr>
                <w:color w:val="000000"/>
                <w:sz w:val="16"/>
                <w:lang w:val="lt-LT"/>
              </w:rPr>
            </w:pPr>
            <w:r w:rsidRPr="009201B2">
              <w:rPr>
                <w:color w:val="000000"/>
                <w:sz w:val="16"/>
                <w:lang w:val="lt-LT"/>
              </w:rPr>
              <w:t>1 202 685,31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DEAD0"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60CA6" w14:textId="77777777" w:rsidR="00A77B3E" w:rsidRPr="009201B2" w:rsidRDefault="00003C2A">
            <w:pPr>
              <w:spacing w:before="100"/>
              <w:jc w:val="right"/>
              <w:rPr>
                <w:color w:val="000000"/>
                <w:sz w:val="16"/>
                <w:lang w:val="lt-LT"/>
              </w:rPr>
            </w:pPr>
            <w:r w:rsidRPr="009201B2">
              <w:rPr>
                <w:color w:val="000000"/>
                <w:sz w:val="16"/>
                <w:lang w:val="lt-LT"/>
              </w:rPr>
              <w:t>5 035 540,84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00309" w14:textId="77777777" w:rsidR="00A77B3E" w:rsidRPr="009201B2" w:rsidRDefault="00003C2A">
            <w:pPr>
              <w:spacing w:before="100"/>
              <w:jc w:val="right"/>
              <w:rPr>
                <w:color w:val="000000"/>
                <w:sz w:val="16"/>
                <w:lang w:val="lt-LT"/>
              </w:rPr>
            </w:pPr>
            <w:r w:rsidRPr="009201B2">
              <w:rPr>
                <w:color w:val="000000"/>
                <w:sz w:val="16"/>
                <w:lang w:val="lt-LT"/>
              </w:rPr>
              <w:t>76,1160648237%</w:t>
            </w:r>
          </w:p>
        </w:tc>
      </w:tr>
      <w:tr w:rsidR="00535D32" w:rsidRPr="009201B2" w14:paraId="3CA4B4BC"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6C6CF" w14:textId="77777777" w:rsidR="00A77B3E" w:rsidRPr="009201B2" w:rsidRDefault="00003C2A">
            <w:pPr>
              <w:spacing w:before="100"/>
              <w:rPr>
                <w:color w:val="000000"/>
                <w:sz w:val="16"/>
                <w:lang w:val="lt-LT"/>
              </w:rPr>
            </w:pPr>
            <w:r w:rsidRPr="009201B2">
              <w:rPr>
                <w:color w:val="000000"/>
                <w:sz w:val="16"/>
                <w:lang w:val="lt-LT"/>
              </w:rPr>
              <w:t>Nusikalstamumo prevencija ir kova su juo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5AE9F" w14:textId="77777777" w:rsidR="00A77B3E" w:rsidRPr="009201B2" w:rsidRDefault="00003C2A">
            <w:pPr>
              <w:spacing w:before="100"/>
              <w:rPr>
                <w:color w:val="000000"/>
                <w:sz w:val="16"/>
                <w:lang w:val="lt-LT"/>
              </w:rPr>
            </w:pPr>
            <w:r w:rsidRPr="009201B2">
              <w:rPr>
                <w:color w:val="000000"/>
                <w:sz w:val="16"/>
                <w:lang w:val="lt-LT"/>
              </w:rPr>
              <w:t>Įprasti veiksmai</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8BED0"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CFC1D" w14:textId="77777777" w:rsidR="00A77B3E" w:rsidRPr="009201B2" w:rsidRDefault="00003C2A">
            <w:pPr>
              <w:spacing w:before="100"/>
              <w:jc w:val="right"/>
              <w:rPr>
                <w:color w:val="000000"/>
                <w:sz w:val="16"/>
                <w:lang w:val="lt-LT"/>
              </w:rPr>
            </w:pPr>
            <w:r w:rsidRPr="009201B2">
              <w:rPr>
                <w:color w:val="000000"/>
                <w:sz w:val="16"/>
                <w:lang w:val="lt-LT"/>
              </w:rPr>
              <w:t>6 885 525,00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0DA78" w14:textId="77777777" w:rsidR="00A77B3E" w:rsidRPr="009201B2" w:rsidRDefault="00003C2A">
            <w:pPr>
              <w:spacing w:before="100"/>
              <w:jc w:val="right"/>
              <w:rPr>
                <w:color w:val="000000"/>
                <w:sz w:val="16"/>
                <w:lang w:val="lt-LT"/>
              </w:rPr>
            </w:pPr>
            <w:r w:rsidRPr="009201B2">
              <w:rPr>
                <w:color w:val="000000"/>
                <w:sz w:val="16"/>
                <w:lang w:val="lt-LT"/>
              </w:rPr>
              <w:t>2 295 175,00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A2A33" w14:textId="77777777" w:rsidR="00A77B3E" w:rsidRPr="009201B2" w:rsidRDefault="00003C2A">
            <w:pPr>
              <w:spacing w:before="100"/>
              <w:jc w:val="right"/>
              <w:rPr>
                <w:color w:val="000000"/>
                <w:sz w:val="16"/>
                <w:lang w:val="lt-LT"/>
              </w:rPr>
            </w:pPr>
            <w:r w:rsidRPr="009201B2">
              <w:rPr>
                <w:color w:val="000000"/>
                <w:sz w:val="16"/>
                <w:lang w:val="lt-LT"/>
              </w:rPr>
              <w:t>2 295 175,00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1C311"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5232A" w14:textId="77777777" w:rsidR="00A77B3E" w:rsidRPr="009201B2" w:rsidRDefault="00003C2A">
            <w:pPr>
              <w:spacing w:before="100"/>
              <w:jc w:val="right"/>
              <w:rPr>
                <w:color w:val="000000"/>
                <w:sz w:val="16"/>
                <w:lang w:val="lt-LT"/>
              </w:rPr>
            </w:pPr>
            <w:r w:rsidRPr="009201B2">
              <w:rPr>
                <w:color w:val="000000"/>
                <w:sz w:val="16"/>
                <w:lang w:val="lt-LT"/>
              </w:rPr>
              <w:t>9 180 700,00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2E0BD" w14:textId="77777777" w:rsidR="00A77B3E" w:rsidRPr="009201B2" w:rsidRDefault="00003C2A">
            <w:pPr>
              <w:spacing w:before="100"/>
              <w:jc w:val="right"/>
              <w:rPr>
                <w:color w:val="000000"/>
                <w:sz w:val="16"/>
                <w:lang w:val="lt-LT"/>
              </w:rPr>
            </w:pPr>
            <w:r w:rsidRPr="009201B2">
              <w:rPr>
                <w:color w:val="000000"/>
                <w:sz w:val="16"/>
                <w:lang w:val="lt-LT"/>
              </w:rPr>
              <w:t>75,0000000000%</w:t>
            </w:r>
          </w:p>
        </w:tc>
      </w:tr>
      <w:tr w:rsidR="00535D32" w:rsidRPr="009201B2" w14:paraId="027A898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676BA" w14:textId="77777777" w:rsidR="00A77B3E" w:rsidRPr="009201B2" w:rsidRDefault="00003C2A">
            <w:pPr>
              <w:spacing w:before="100"/>
              <w:rPr>
                <w:color w:val="000000"/>
                <w:sz w:val="16"/>
                <w:lang w:val="lt-LT"/>
              </w:rPr>
            </w:pPr>
            <w:r w:rsidRPr="009201B2">
              <w:rPr>
                <w:color w:val="000000"/>
                <w:sz w:val="16"/>
                <w:lang w:val="lt-LT"/>
              </w:rPr>
              <w:t>Nusikalstamumo prevencija ir kova su juo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57CAA" w14:textId="77777777" w:rsidR="00A77B3E" w:rsidRPr="009201B2" w:rsidRDefault="00003C2A">
            <w:pPr>
              <w:spacing w:before="100"/>
              <w:rPr>
                <w:color w:val="000000"/>
                <w:sz w:val="16"/>
                <w:lang w:val="lt-LT"/>
              </w:rPr>
            </w:pPr>
            <w:r w:rsidRPr="009201B2">
              <w:rPr>
                <w:color w:val="000000"/>
                <w:sz w:val="16"/>
                <w:lang w:val="lt-LT"/>
              </w:rPr>
              <w:t>Veiksmai pagal IV priedą</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C36FC"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6485A"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26044"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3D3B0"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CEF9D"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12A6F"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5BA58" w14:textId="77777777" w:rsidR="00A77B3E" w:rsidRPr="009201B2" w:rsidRDefault="00A77B3E">
            <w:pPr>
              <w:spacing w:before="100"/>
              <w:jc w:val="right"/>
              <w:rPr>
                <w:color w:val="000000"/>
                <w:sz w:val="16"/>
                <w:lang w:val="lt-LT"/>
              </w:rPr>
            </w:pPr>
          </w:p>
        </w:tc>
      </w:tr>
      <w:tr w:rsidR="00535D32" w:rsidRPr="009201B2" w14:paraId="715F20D2"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AC56E" w14:textId="77777777" w:rsidR="00A77B3E" w:rsidRPr="009201B2" w:rsidRDefault="00003C2A">
            <w:pPr>
              <w:spacing w:before="100"/>
              <w:rPr>
                <w:color w:val="000000"/>
                <w:sz w:val="16"/>
                <w:lang w:val="lt-LT"/>
              </w:rPr>
            </w:pPr>
            <w:r w:rsidRPr="009201B2">
              <w:rPr>
                <w:color w:val="000000"/>
                <w:sz w:val="16"/>
                <w:lang w:val="lt-LT"/>
              </w:rPr>
              <w:t>Iš viso Nusikalstamumo prevencija ir kova su juo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4C814"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CA42C"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2FE07" w14:textId="77777777" w:rsidR="00A77B3E" w:rsidRPr="009201B2" w:rsidRDefault="00003C2A">
            <w:pPr>
              <w:spacing w:before="100"/>
              <w:jc w:val="right"/>
              <w:rPr>
                <w:color w:val="000000"/>
                <w:sz w:val="16"/>
                <w:lang w:val="lt-LT"/>
              </w:rPr>
            </w:pPr>
            <w:r w:rsidRPr="009201B2">
              <w:rPr>
                <w:color w:val="000000"/>
                <w:sz w:val="16"/>
                <w:lang w:val="lt-LT"/>
              </w:rPr>
              <w:t>6 885 525,00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84EC6" w14:textId="77777777" w:rsidR="00A77B3E" w:rsidRPr="009201B2" w:rsidRDefault="00003C2A">
            <w:pPr>
              <w:spacing w:before="100"/>
              <w:jc w:val="right"/>
              <w:rPr>
                <w:color w:val="000000"/>
                <w:sz w:val="16"/>
                <w:lang w:val="lt-LT"/>
              </w:rPr>
            </w:pPr>
            <w:r w:rsidRPr="009201B2">
              <w:rPr>
                <w:color w:val="000000"/>
                <w:sz w:val="16"/>
                <w:lang w:val="lt-LT"/>
              </w:rPr>
              <w:t>2 295 175,00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2E211" w14:textId="77777777" w:rsidR="00A77B3E" w:rsidRPr="009201B2" w:rsidRDefault="00003C2A">
            <w:pPr>
              <w:spacing w:before="100"/>
              <w:jc w:val="right"/>
              <w:rPr>
                <w:color w:val="000000"/>
                <w:sz w:val="16"/>
                <w:lang w:val="lt-LT"/>
              </w:rPr>
            </w:pPr>
            <w:r w:rsidRPr="009201B2">
              <w:rPr>
                <w:color w:val="000000"/>
                <w:sz w:val="16"/>
                <w:lang w:val="lt-LT"/>
              </w:rPr>
              <w:t>2 295 175,00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75B60"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94A5F" w14:textId="77777777" w:rsidR="00A77B3E" w:rsidRPr="009201B2" w:rsidRDefault="00003C2A">
            <w:pPr>
              <w:spacing w:before="100"/>
              <w:jc w:val="right"/>
              <w:rPr>
                <w:color w:val="000000"/>
                <w:sz w:val="16"/>
                <w:lang w:val="lt-LT"/>
              </w:rPr>
            </w:pPr>
            <w:r w:rsidRPr="009201B2">
              <w:rPr>
                <w:color w:val="000000"/>
                <w:sz w:val="16"/>
                <w:lang w:val="lt-LT"/>
              </w:rPr>
              <w:t>9 180 700,00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6D67D" w14:textId="77777777" w:rsidR="00A77B3E" w:rsidRPr="009201B2" w:rsidRDefault="00003C2A">
            <w:pPr>
              <w:spacing w:before="100"/>
              <w:jc w:val="right"/>
              <w:rPr>
                <w:color w:val="000000"/>
                <w:sz w:val="16"/>
                <w:lang w:val="lt-LT"/>
              </w:rPr>
            </w:pPr>
            <w:r w:rsidRPr="009201B2">
              <w:rPr>
                <w:color w:val="000000"/>
                <w:sz w:val="16"/>
                <w:lang w:val="lt-LT"/>
              </w:rPr>
              <w:t>75,0000000000%</w:t>
            </w:r>
          </w:p>
        </w:tc>
      </w:tr>
      <w:tr w:rsidR="00535D32" w:rsidRPr="009201B2" w14:paraId="59885BA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B06F5" w14:textId="77777777" w:rsidR="00A77B3E" w:rsidRPr="009201B2" w:rsidRDefault="00003C2A">
            <w:pPr>
              <w:spacing w:before="100"/>
              <w:rPr>
                <w:color w:val="000000"/>
                <w:sz w:val="16"/>
                <w:lang w:val="lt-LT"/>
              </w:rPr>
            </w:pPr>
            <w:r w:rsidRPr="009201B2">
              <w:rPr>
                <w:color w:val="000000"/>
                <w:sz w:val="16"/>
                <w:lang w:val="lt-LT"/>
              </w:rPr>
              <w:t>Techninė pagalba – fiksuoto dydžio (BNR 36 straipsnio 5 dalis)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6C9C9"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7E342"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64082" w14:textId="77777777" w:rsidR="00A77B3E" w:rsidRPr="009201B2" w:rsidRDefault="00003C2A">
            <w:pPr>
              <w:spacing w:before="100"/>
              <w:jc w:val="right"/>
              <w:rPr>
                <w:color w:val="000000"/>
                <w:sz w:val="16"/>
                <w:lang w:val="lt-LT"/>
              </w:rPr>
            </w:pPr>
            <w:r w:rsidRPr="009201B2">
              <w:rPr>
                <w:color w:val="000000"/>
                <w:sz w:val="16"/>
                <w:lang w:val="lt-LT"/>
              </w:rPr>
              <w:t>1 695 346,83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5737F" w14:textId="77777777" w:rsidR="00A77B3E" w:rsidRPr="009201B2" w:rsidRDefault="00A77B3E">
            <w:pPr>
              <w:spacing w:before="100"/>
              <w:jc w:val="right"/>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CB8C9" w14:textId="77777777" w:rsidR="00A77B3E" w:rsidRPr="009201B2" w:rsidRDefault="00A77B3E">
            <w:pPr>
              <w:spacing w:before="100"/>
              <w:jc w:val="right"/>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9D534" w14:textId="77777777" w:rsidR="00A77B3E" w:rsidRPr="009201B2" w:rsidRDefault="00A77B3E">
            <w:pPr>
              <w:spacing w:before="100"/>
              <w:jc w:val="right"/>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51218" w14:textId="77777777" w:rsidR="00A77B3E" w:rsidRPr="009201B2" w:rsidRDefault="00003C2A">
            <w:pPr>
              <w:spacing w:before="100"/>
              <w:jc w:val="right"/>
              <w:rPr>
                <w:color w:val="000000"/>
                <w:sz w:val="16"/>
                <w:lang w:val="lt-LT"/>
              </w:rPr>
            </w:pPr>
            <w:r w:rsidRPr="009201B2">
              <w:rPr>
                <w:color w:val="000000"/>
                <w:sz w:val="16"/>
                <w:lang w:val="lt-LT"/>
              </w:rPr>
              <w:t>1 695 346,83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3F344" w14:textId="77777777" w:rsidR="00A77B3E" w:rsidRPr="009201B2" w:rsidRDefault="00003C2A">
            <w:pPr>
              <w:spacing w:before="100"/>
              <w:jc w:val="right"/>
              <w:rPr>
                <w:color w:val="000000"/>
                <w:sz w:val="16"/>
                <w:lang w:val="lt-LT"/>
              </w:rPr>
            </w:pPr>
            <w:r w:rsidRPr="009201B2">
              <w:rPr>
                <w:color w:val="000000"/>
                <w:sz w:val="16"/>
                <w:lang w:val="lt-LT"/>
              </w:rPr>
              <w:t>100,0000000000%</w:t>
            </w:r>
          </w:p>
        </w:tc>
      </w:tr>
      <w:tr w:rsidR="00535D32" w:rsidRPr="009201B2" w14:paraId="315BF6C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121DB" w14:textId="77777777" w:rsidR="00A77B3E" w:rsidRPr="009201B2" w:rsidRDefault="00003C2A">
            <w:pPr>
              <w:spacing w:before="100"/>
              <w:rPr>
                <w:color w:val="000000"/>
                <w:sz w:val="16"/>
                <w:lang w:val="lt-LT"/>
              </w:rPr>
            </w:pPr>
            <w:r w:rsidRPr="009201B2">
              <w:rPr>
                <w:color w:val="000000"/>
                <w:sz w:val="16"/>
                <w:lang w:val="lt-LT"/>
              </w:rPr>
              <w:t>Iš viso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CC8FD"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78A78" w14:textId="77777777" w:rsidR="00A77B3E" w:rsidRPr="009201B2" w:rsidRDefault="00A77B3E">
            <w:pPr>
              <w:spacing w:before="100"/>
              <w:rPr>
                <w:color w:val="000000"/>
                <w:sz w:val="16"/>
                <w:lang w:val="lt-LT"/>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8017A" w14:textId="77777777" w:rsidR="00A77B3E" w:rsidRPr="009201B2" w:rsidRDefault="00003C2A">
            <w:pPr>
              <w:spacing w:before="100"/>
              <w:jc w:val="right"/>
              <w:rPr>
                <w:color w:val="000000"/>
                <w:sz w:val="16"/>
                <w:lang w:val="lt-LT"/>
              </w:rPr>
            </w:pPr>
            <w:r w:rsidRPr="009201B2">
              <w:rPr>
                <w:color w:val="000000"/>
                <w:sz w:val="16"/>
                <w:lang w:val="lt-LT"/>
              </w:rPr>
              <w:t>29 951 127,36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D5DAA" w14:textId="77777777" w:rsidR="00A77B3E" w:rsidRPr="009201B2" w:rsidRDefault="00003C2A">
            <w:pPr>
              <w:spacing w:before="100"/>
              <w:jc w:val="right"/>
              <w:rPr>
                <w:color w:val="000000"/>
                <w:sz w:val="16"/>
                <w:lang w:val="lt-LT"/>
              </w:rPr>
            </w:pPr>
            <w:r w:rsidRPr="009201B2">
              <w:rPr>
                <w:color w:val="000000"/>
                <w:sz w:val="16"/>
                <w:lang w:val="lt-LT"/>
              </w:rPr>
              <w:t>9 343 660,31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F3360" w14:textId="77777777" w:rsidR="00A77B3E" w:rsidRPr="009201B2" w:rsidRDefault="00003C2A">
            <w:pPr>
              <w:spacing w:before="100"/>
              <w:jc w:val="right"/>
              <w:rPr>
                <w:color w:val="000000"/>
                <w:sz w:val="16"/>
                <w:lang w:val="lt-LT"/>
              </w:rPr>
            </w:pPr>
            <w:r w:rsidRPr="009201B2">
              <w:rPr>
                <w:color w:val="000000"/>
                <w:sz w:val="16"/>
                <w:lang w:val="lt-LT"/>
              </w:rPr>
              <w:t>9 343 660,31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2C3F0" w14:textId="77777777" w:rsidR="00A77B3E" w:rsidRPr="009201B2" w:rsidRDefault="00003C2A">
            <w:pPr>
              <w:spacing w:before="100"/>
              <w:jc w:val="right"/>
              <w:rPr>
                <w:color w:val="000000"/>
                <w:sz w:val="16"/>
                <w:lang w:val="lt-LT"/>
              </w:rPr>
            </w:pPr>
            <w:r w:rsidRPr="009201B2">
              <w:rPr>
                <w:color w:val="000000"/>
                <w:sz w:val="16"/>
                <w:lang w:val="lt-LT"/>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3B4C3" w14:textId="77777777" w:rsidR="00A77B3E" w:rsidRPr="009201B2" w:rsidRDefault="00003C2A">
            <w:pPr>
              <w:spacing w:before="100"/>
              <w:jc w:val="right"/>
              <w:rPr>
                <w:color w:val="000000"/>
                <w:sz w:val="16"/>
                <w:lang w:val="lt-LT"/>
              </w:rPr>
            </w:pPr>
            <w:r w:rsidRPr="009201B2">
              <w:rPr>
                <w:color w:val="000000"/>
                <w:sz w:val="16"/>
                <w:lang w:val="lt-LT"/>
              </w:rPr>
              <w:t>39 294 787,67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A903A" w14:textId="77777777" w:rsidR="00A77B3E" w:rsidRPr="009201B2" w:rsidRDefault="00003C2A">
            <w:pPr>
              <w:spacing w:before="100"/>
              <w:jc w:val="right"/>
              <w:rPr>
                <w:color w:val="000000"/>
                <w:sz w:val="16"/>
                <w:lang w:val="lt-LT"/>
              </w:rPr>
            </w:pPr>
            <w:r w:rsidRPr="009201B2">
              <w:rPr>
                <w:color w:val="000000"/>
                <w:sz w:val="16"/>
                <w:lang w:val="lt-LT"/>
              </w:rPr>
              <w:t>76,2216292184%</w:t>
            </w:r>
          </w:p>
        </w:tc>
      </w:tr>
    </w:tbl>
    <w:p w14:paraId="30173E35" w14:textId="77777777" w:rsidR="00A77B3E" w:rsidRPr="009201B2" w:rsidRDefault="00003C2A">
      <w:pPr>
        <w:spacing w:before="100"/>
        <w:rPr>
          <w:color w:val="000000"/>
          <w:lang w:val="lt-LT"/>
        </w:rPr>
      </w:pPr>
      <w:r w:rsidRPr="009201B2">
        <w:rPr>
          <w:color w:val="000000"/>
          <w:sz w:val="16"/>
          <w:lang w:val="lt-LT"/>
        </w:rPr>
        <w:br w:type="page"/>
      </w:r>
    </w:p>
    <w:p w14:paraId="06BA5225"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33" w:name="_Toc256000089"/>
      <w:r w:rsidRPr="009201B2">
        <w:rPr>
          <w:rFonts w:ascii="Times New Roman" w:hAnsi="Times New Roman" w:cs="Times New Roman"/>
          <w:b w:val="0"/>
          <w:i w:val="0"/>
          <w:color w:val="000000"/>
          <w:sz w:val="24"/>
          <w:lang w:val="lt-LT"/>
        </w:rPr>
        <w:lastRenderedPageBreak/>
        <w:t>3.3. Perkėlimai</w:t>
      </w:r>
      <w:bookmarkEnd w:id="33"/>
    </w:p>
    <w:p w14:paraId="34EE1595" w14:textId="77777777" w:rsidR="00A77B3E" w:rsidRPr="009201B2" w:rsidRDefault="00003C2A">
      <w:pPr>
        <w:pStyle w:val="Antrat3"/>
        <w:spacing w:before="100" w:after="0"/>
        <w:rPr>
          <w:rFonts w:ascii="Times New Roman" w:hAnsi="Times New Roman" w:cs="Times New Roman"/>
          <w:b w:val="0"/>
          <w:color w:val="000000"/>
          <w:sz w:val="0"/>
          <w:lang w:val="lt-LT"/>
        </w:rPr>
      </w:pPr>
      <w:bookmarkStart w:id="34" w:name="_Toc256000090"/>
      <w:r w:rsidRPr="009201B2">
        <w:rPr>
          <w:rFonts w:ascii="Times New Roman" w:hAnsi="Times New Roman" w:cs="Times New Roman"/>
          <w:b w:val="0"/>
          <w:color w:val="000000"/>
          <w:sz w:val="24"/>
          <w:lang w:val="lt-LT"/>
        </w:rPr>
        <w:t>7 lentelė. Perkėlimai tarp pasidalijamojo valdymo fondų</w:t>
      </w:r>
      <w:r w:rsidRPr="009201B2">
        <w:rPr>
          <w:rFonts w:ascii="Times New Roman" w:hAnsi="Times New Roman" w:cs="Times New Roman"/>
          <w:b w:val="0"/>
          <w:color w:val="000000"/>
          <w:sz w:val="24"/>
          <w:vertAlign w:val="superscript"/>
          <w:lang w:val="lt-LT"/>
        </w:rPr>
        <w:t>1</w:t>
      </w:r>
      <w:bookmarkEnd w:id="34"/>
    </w:p>
    <w:p w14:paraId="2CBEBB30"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1458"/>
        <w:gridCol w:w="1571"/>
        <w:gridCol w:w="1486"/>
        <w:gridCol w:w="1432"/>
        <w:gridCol w:w="886"/>
        <w:gridCol w:w="2085"/>
        <w:gridCol w:w="1614"/>
      </w:tblGrid>
      <w:tr w:rsidR="00535D32" w:rsidRPr="009201B2" w14:paraId="174E50EB"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FF3E9" w14:textId="77777777" w:rsidR="00A77B3E" w:rsidRPr="009201B2" w:rsidRDefault="00003C2A">
            <w:pPr>
              <w:spacing w:before="100"/>
              <w:jc w:val="center"/>
              <w:rPr>
                <w:color w:val="000000"/>
                <w:lang w:val="lt-LT"/>
              </w:rPr>
            </w:pPr>
            <w:r w:rsidRPr="009201B2">
              <w:rPr>
                <w:color w:val="000000"/>
                <w:lang w:val="lt-LT"/>
              </w:rPr>
              <w:t>Perkeliantysis fondas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CF275" w14:textId="77777777" w:rsidR="00A77B3E" w:rsidRPr="009201B2" w:rsidRDefault="00003C2A">
            <w:pPr>
              <w:spacing w:before="100"/>
              <w:jc w:val="center"/>
              <w:rPr>
                <w:color w:val="000000"/>
                <w:lang w:val="lt-LT"/>
              </w:rPr>
            </w:pPr>
            <w:r w:rsidRPr="009201B2">
              <w:rPr>
                <w:color w:val="000000"/>
                <w:lang w:val="lt-LT"/>
              </w:rPr>
              <w:t>Gaunantysis fondas</w:t>
            </w:r>
          </w:p>
        </w:tc>
      </w:tr>
      <w:tr w:rsidR="00535D32" w:rsidRPr="009201B2" w14:paraId="1662686E"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82F5C1" w14:textId="77777777" w:rsidR="00A77B3E" w:rsidRPr="009201B2" w:rsidRDefault="00A77B3E">
            <w:pPr>
              <w:spacing w:before="100"/>
              <w:jc w:val="center"/>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AB14C" w14:textId="77777777" w:rsidR="00A77B3E" w:rsidRPr="009201B2" w:rsidRDefault="00003C2A">
            <w:pPr>
              <w:spacing w:before="100"/>
              <w:jc w:val="center"/>
              <w:rPr>
                <w:color w:val="000000"/>
                <w:lang w:val="lt-LT"/>
              </w:rPr>
            </w:pPr>
            <w:r w:rsidRPr="009201B2">
              <w:rPr>
                <w:color w:val="000000"/>
                <w:lang w:val="lt-LT"/>
              </w:rPr>
              <w:t>PMIF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095B0" w14:textId="77777777" w:rsidR="00A77B3E" w:rsidRPr="009201B2" w:rsidRDefault="00003C2A">
            <w:pPr>
              <w:spacing w:before="100"/>
              <w:jc w:val="center"/>
              <w:rPr>
                <w:color w:val="000000"/>
                <w:lang w:val="lt-LT"/>
              </w:rPr>
            </w:pPr>
            <w:r w:rsidRPr="009201B2">
              <w:rPr>
                <w:color w:val="000000"/>
                <w:lang w:val="lt-LT"/>
              </w:rPr>
              <w:t>SVVP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4B5C0D" w14:textId="77777777" w:rsidR="00A77B3E" w:rsidRPr="009201B2" w:rsidRDefault="00003C2A">
            <w:pPr>
              <w:spacing w:before="100"/>
              <w:jc w:val="center"/>
              <w:rPr>
                <w:color w:val="000000"/>
                <w:lang w:val="lt-LT"/>
              </w:rPr>
            </w:pPr>
            <w:r w:rsidRPr="009201B2">
              <w:rPr>
                <w:color w:val="000000"/>
                <w:lang w:val="lt-LT"/>
              </w:rPr>
              <w:t>ERPF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733C4" w14:textId="77777777" w:rsidR="00A77B3E" w:rsidRPr="009201B2" w:rsidRDefault="00003C2A">
            <w:pPr>
              <w:spacing w:before="100"/>
              <w:jc w:val="center"/>
              <w:rPr>
                <w:color w:val="000000"/>
                <w:lang w:val="lt-LT"/>
              </w:rPr>
            </w:pPr>
            <w:r w:rsidRPr="009201B2">
              <w:rPr>
                <w:color w:val="000000"/>
                <w:lang w:val="lt-LT"/>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9C643" w14:textId="77777777" w:rsidR="00A77B3E" w:rsidRPr="009201B2" w:rsidRDefault="00003C2A">
            <w:pPr>
              <w:spacing w:before="100"/>
              <w:jc w:val="center"/>
              <w:rPr>
                <w:color w:val="000000"/>
                <w:lang w:val="lt-LT"/>
              </w:rPr>
            </w:pPr>
            <w:r w:rsidRPr="009201B2">
              <w:rPr>
                <w:color w:val="000000"/>
                <w:lang w:val="lt-LT"/>
              </w:rPr>
              <w:t>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7CD16" w14:textId="77777777" w:rsidR="00A77B3E" w:rsidRPr="009201B2" w:rsidRDefault="00003C2A">
            <w:pPr>
              <w:spacing w:before="100"/>
              <w:jc w:val="center"/>
              <w:rPr>
                <w:color w:val="000000"/>
                <w:lang w:val="lt-LT"/>
              </w:rPr>
            </w:pPr>
            <w:r w:rsidRPr="009201B2">
              <w:rPr>
                <w:color w:val="000000"/>
                <w:lang w:val="lt-LT"/>
              </w:rPr>
              <w:t>EJRŽAF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73892E" w14:textId="77777777" w:rsidR="00A77B3E" w:rsidRPr="009201B2" w:rsidRDefault="00003C2A">
            <w:pPr>
              <w:spacing w:before="100"/>
              <w:jc w:val="center"/>
              <w:rPr>
                <w:color w:val="000000"/>
                <w:lang w:val="lt-LT"/>
              </w:rPr>
            </w:pPr>
            <w:r w:rsidRPr="009201B2">
              <w:rPr>
                <w:color w:val="000000"/>
                <w:lang w:val="lt-LT"/>
              </w:rPr>
              <w:t>Iš viso</w:t>
            </w:r>
          </w:p>
        </w:tc>
      </w:tr>
      <w:tr w:rsidR="00535D32" w:rsidRPr="009201B2" w14:paraId="1B542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CF8B6" w14:textId="77777777" w:rsidR="00A77B3E" w:rsidRPr="009201B2" w:rsidRDefault="00003C2A">
            <w:pPr>
              <w:spacing w:before="100"/>
              <w:jc w:val="center"/>
              <w:rPr>
                <w:color w:val="000000"/>
                <w:lang w:val="lt-LT"/>
              </w:rPr>
            </w:pPr>
            <w:r w:rsidRPr="009201B2">
              <w:rPr>
                <w:color w:val="000000"/>
                <w:lang w:val="lt-LT"/>
              </w:rPr>
              <w:t>VSF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E332A"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D8BF5"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EE43D"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66AE69"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3DB91B"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F2F4CF" w14:textId="77777777" w:rsidR="00A77B3E" w:rsidRPr="009201B2" w:rsidRDefault="00A77B3E">
            <w:pPr>
              <w:spacing w:before="100"/>
              <w:jc w:val="right"/>
              <w:rPr>
                <w:color w:val="000000"/>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68548" w14:textId="77777777" w:rsidR="00A77B3E" w:rsidRPr="009201B2" w:rsidRDefault="00A77B3E">
            <w:pPr>
              <w:spacing w:before="100"/>
              <w:jc w:val="right"/>
              <w:rPr>
                <w:color w:val="000000"/>
                <w:lang w:val="lt-LT"/>
              </w:rPr>
            </w:pPr>
          </w:p>
        </w:tc>
      </w:tr>
    </w:tbl>
    <w:p w14:paraId="06063A73" w14:textId="77777777" w:rsidR="00A77B3E" w:rsidRPr="009201B2" w:rsidRDefault="00003C2A">
      <w:pPr>
        <w:spacing w:before="100"/>
        <w:rPr>
          <w:color w:val="000000"/>
          <w:lang w:val="lt-LT"/>
        </w:rPr>
      </w:pPr>
      <w:r w:rsidRPr="009201B2">
        <w:rPr>
          <w:color w:val="000000"/>
          <w:vertAlign w:val="superscript"/>
          <w:lang w:val="lt-LT"/>
        </w:rPr>
        <w:t>1</w:t>
      </w:r>
      <w:r w:rsidRPr="009201B2">
        <w:rPr>
          <w:color w:val="000000"/>
          <w:lang w:val="lt-LT"/>
        </w:rPr>
        <w:t>Visų perkėlimų per programavimo laikotarpį suvestinės sumos.</w:t>
      </w:r>
    </w:p>
    <w:p w14:paraId="37FD00E1" w14:textId="77777777" w:rsidR="00A77B3E" w:rsidRPr="009201B2" w:rsidRDefault="00003C2A">
      <w:pPr>
        <w:pStyle w:val="Antrat3"/>
        <w:spacing w:before="100" w:after="0"/>
        <w:rPr>
          <w:rFonts w:ascii="Times New Roman" w:hAnsi="Times New Roman" w:cs="Times New Roman"/>
          <w:b w:val="0"/>
          <w:color w:val="000000"/>
          <w:sz w:val="0"/>
          <w:lang w:val="lt-LT"/>
        </w:rPr>
      </w:pPr>
      <w:r w:rsidRPr="009201B2">
        <w:rPr>
          <w:rFonts w:ascii="Times New Roman" w:hAnsi="Times New Roman" w:cs="Times New Roman"/>
          <w:b w:val="0"/>
          <w:color w:val="000000"/>
          <w:sz w:val="24"/>
          <w:lang w:val="lt-LT"/>
        </w:rPr>
        <w:br w:type="page"/>
      </w:r>
      <w:bookmarkStart w:id="35" w:name="_Toc256000091"/>
      <w:r w:rsidRPr="009201B2">
        <w:rPr>
          <w:rFonts w:ascii="Times New Roman" w:hAnsi="Times New Roman" w:cs="Times New Roman"/>
          <w:b w:val="0"/>
          <w:color w:val="000000"/>
          <w:sz w:val="24"/>
          <w:lang w:val="lt-LT"/>
        </w:rPr>
        <w:lastRenderedPageBreak/>
        <w:t>8 lentelė. Perkėlimai į tiesioginio ar netiesioginio valdymo priemones</w:t>
      </w:r>
      <w:r w:rsidRPr="009201B2">
        <w:rPr>
          <w:rFonts w:ascii="Times New Roman" w:hAnsi="Times New Roman" w:cs="Times New Roman"/>
          <w:b w:val="0"/>
          <w:color w:val="000000"/>
          <w:sz w:val="24"/>
          <w:vertAlign w:val="superscript"/>
          <w:lang w:val="lt-LT"/>
        </w:rPr>
        <w:t>1</w:t>
      </w:r>
      <w:bookmarkEnd w:id="35"/>
    </w:p>
    <w:p w14:paraId="00178CF0"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8794"/>
      </w:tblGrid>
      <w:tr w:rsidR="00535D32" w:rsidRPr="009201B2" w14:paraId="60DF548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67475" w14:textId="77777777" w:rsidR="00A77B3E" w:rsidRPr="009201B2" w:rsidRDefault="00003C2A">
            <w:pPr>
              <w:spacing w:before="100"/>
              <w:jc w:val="center"/>
              <w:rPr>
                <w:color w:val="000000"/>
                <w:lang w:val="lt-LT"/>
              </w:rPr>
            </w:pPr>
            <w:r w:rsidRPr="009201B2">
              <w:rPr>
                <w:color w:val="000000"/>
                <w:lang w:val="lt-LT"/>
              </w:rPr>
              <w:t>Priemonė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E78DC" w14:textId="77777777" w:rsidR="00A77B3E" w:rsidRPr="009201B2" w:rsidRDefault="00003C2A">
            <w:pPr>
              <w:spacing w:before="100"/>
              <w:jc w:val="center"/>
              <w:rPr>
                <w:color w:val="000000"/>
                <w:lang w:val="lt-LT"/>
              </w:rPr>
            </w:pPr>
            <w:r w:rsidRPr="009201B2">
              <w:rPr>
                <w:color w:val="000000"/>
                <w:lang w:val="lt-LT"/>
              </w:rPr>
              <w:t>Perkelti sumą</w:t>
            </w:r>
          </w:p>
        </w:tc>
      </w:tr>
    </w:tbl>
    <w:p w14:paraId="72BBB41C" w14:textId="77777777" w:rsidR="00A77B3E" w:rsidRPr="009201B2" w:rsidRDefault="00003C2A">
      <w:pPr>
        <w:spacing w:before="100"/>
        <w:rPr>
          <w:color w:val="000000"/>
          <w:lang w:val="lt-LT"/>
        </w:rPr>
        <w:sectPr w:rsidR="00A77B3E" w:rsidRPr="009201B2">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864" w:left="936" w:header="288" w:footer="72" w:gutter="0"/>
          <w:cols w:space="720"/>
          <w:noEndnote/>
          <w:docGrid w:linePitch="360"/>
        </w:sectPr>
      </w:pPr>
      <w:r w:rsidRPr="009201B2">
        <w:rPr>
          <w:color w:val="000000"/>
          <w:vertAlign w:val="superscript"/>
          <w:lang w:val="lt-LT"/>
        </w:rPr>
        <w:t>1</w:t>
      </w:r>
      <w:r w:rsidRPr="009201B2">
        <w:rPr>
          <w:color w:val="000000"/>
          <w:lang w:val="lt-LT"/>
        </w:rPr>
        <w:t>Visų perkėlimų per programavimo laikotarpį suvestinės sumos.</w:t>
      </w:r>
    </w:p>
    <w:p w14:paraId="25F97EEC"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36" w:name="_Toc256000092"/>
      <w:r w:rsidRPr="009201B2">
        <w:rPr>
          <w:rFonts w:ascii="Times New Roman" w:hAnsi="Times New Roman" w:cs="Times New Roman"/>
          <w:b w:val="0"/>
          <w:color w:val="000000"/>
          <w:sz w:val="24"/>
          <w:lang w:val="lt-LT"/>
        </w:rPr>
        <w:lastRenderedPageBreak/>
        <w:t>4. Reikiamos sąlygos</w:t>
      </w:r>
      <w:bookmarkEnd w:id="36"/>
    </w:p>
    <w:p w14:paraId="6F86FB2C" w14:textId="77777777" w:rsidR="00A77B3E" w:rsidRPr="009201B2" w:rsidRDefault="00003C2A">
      <w:pPr>
        <w:spacing w:before="100"/>
        <w:rPr>
          <w:color w:val="000000"/>
          <w:lang w:val="lt-LT"/>
        </w:rPr>
      </w:pPr>
      <w:r w:rsidRPr="009201B2">
        <w:rPr>
          <w:color w:val="000000"/>
          <w:lang w:val="lt-LT"/>
        </w:rPr>
        <w:t>Nuoroda: BNR 22 straipsnio 3 dalies i punktas.</w:t>
      </w:r>
    </w:p>
    <w:p w14:paraId="285EC637"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37" w:name="_Toc256000093"/>
      <w:r w:rsidRPr="009201B2">
        <w:rPr>
          <w:rFonts w:ascii="Times New Roman" w:hAnsi="Times New Roman" w:cs="Times New Roman"/>
          <w:b w:val="0"/>
          <w:i w:val="0"/>
          <w:color w:val="000000"/>
          <w:sz w:val="24"/>
          <w:lang w:val="lt-LT"/>
        </w:rPr>
        <w:t>9 lentelė. Horizontaliosios reikiamos sąlygos</w:t>
      </w:r>
      <w:bookmarkEnd w:id="37"/>
    </w:p>
    <w:p w14:paraId="56E6EFF0" w14:textId="77777777" w:rsidR="00A77B3E" w:rsidRPr="009201B2" w:rsidRDefault="00A77B3E">
      <w:pPr>
        <w:spacing w:before="100"/>
        <w:rPr>
          <w:color w:val="000000"/>
          <w:sz w:val="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535D32" w:rsidRPr="009201B2" w14:paraId="396F0F75"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FC0B9" w14:textId="77777777" w:rsidR="00A77B3E" w:rsidRPr="009201B2" w:rsidRDefault="00003C2A">
            <w:pPr>
              <w:spacing w:before="100"/>
              <w:jc w:val="center"/>
              <w:rPr>
                <w:color w:val="000000"/>
                <w:sz w:val="20"/>
                <w:lang w:val="lt-LT"/>
              </w:rPr>
            </w:pPr>
            <w:r w:rsidRPr="009201B2">
              <w:rPr>
                <w:color w:val="000000"/>
                <w:sz w:val="20"/>
                <w:lang w:val="lt-LT"/>
              </w:rPr>
              <w:t>Reikiama sąlyga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E160AF" w14:textId="77777777" w:rsidR="00A77B3E" w:rsidRPr="009201B2" w:rsidRDefault="00003C2A">
            <w:pPr>
              <w:spacing w:before="100"/>
              <w:jc w:val="center"/>
              <w:rPr>
                <w:color w:val="000000"/>
                <w:sz w:val="20"/>
                <w:lang w:val="lt-LT"/>
              </w:rPr>
            </w:pPr>
            <w:r w:rsidRPr="009201B2">
              <w:rPr>
                <w:color w:val="000000"/>
                <w:sz w:val="20"/>
                <w:lang w:val="lt-LT"/>
              </w:rPr>
              <w:t>Reikiamos sąlygos įvykdymas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46ED91" w14:textId="77777777" w:rsidR="00A77B3E" w:rsidRPr="009201B2" w:rsidRDefault="00003C2A">
            <w:pPr>
              <w:spacing w:before="100"/>
              <w:jc w:val="center"/>
              <w:rPr>
                <w:color w:val="000000"/>
                <w:sz w:val="20"/>
                <w:lang w:val="lt-LT"/>
              </w:rPr>
            </w:pPr>
            <w:r w:rsidRPr="009201B2">
              <w:rPr>
                <w:color w:val="000000"/>
                <w:sz w:val="20"/>
                <w:lang w:val="lt-LT"/>
              </w:rPr>
              <w:t>Kriterijai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14C544" w14:textId="77777777" w:rsidR="00A77B3E" w:rsidRPr="009201B2" w:rsidRDefault="00003C2A">
            <w:pPr>
              <w:spacing w:before="100"/>
              <w:jc w:val="center"/>
              <w:rPr>
                <w:color w:val="000000"/>
                <w:sz w:val="20"/>
                <w:lang w:val="lt-LT"/>
              </w:rPr>
            </w:pPr>
            <w:r w:rsidRPr="009201B2">
              <w:rPr>
                <w:color w:val="000000"/>
                <w:sz w:val="20"/>
                <w:lang w:val="lt-LT"/>
              </w:rPr>
              <w:t>Kriterijų tenkinimas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E0A9A2" w14:textId="77777777" w:rsidR="00A77B3E" w:rsidRPr="009201B2" w:rsidRDefault="00003C2A">
            <w:pPr>
              <w:spacing w:before="100"/>
              <w:jc w:val="center"/>
              <w:rPr>
                <w:color w:val="000000"/>
                <w:sz w:val="20"/>
                <w:lang w:val="lt-LT"/>
              </w:rPr>
            </w:pPr>
            <w:r w:rsidRPr="009201B2">
              <w:rPr>
                <w:color w:val="000000"/>
                <w:sz w:val="20"/>
                <w:lang w:val="lt-LT"/>
              </w:rPr>
              <w:t>Nuoroda į atitinkamus dokumentus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D85CDA" w14:textId="77777777" w:rsidR="00A77B3E" w:rsidRPr="009201B2" w:rsidRDefault="00003C2A">
            <w:pPr>
              <w:spacing w:before="100"/>
              <w:jc w:val="center"/>
              <w:rPr>
                <w:color w:val="000000"/>
                <w:sz w:val="20"/>
                <w:lang w:val="lt-LT"/>
              </w:rPr>
            </w:pPr>
            <w:r w:rsidRPr="009201B2">
              <w:rPr>
                <w:color w:val="000000"/>
                <w:sz w:val="20"/>
                <w:lang w:val="lt-LT"/>
              </w:rPr>
              <w:t>Pagrindimas</w:t>
            </w:r>
          </w:p>
        </w:tc>
      </w:tr>
      <w:tr w:rsidR="00535D32" w:rsidRPr="009201B2" w14:paraId="22CD2BD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0C36F" w14:textId="77777777" w:rsidR="00A77B3E" w:rsidRPr="009201B2" w:rsidRDefault="00003C2A" w:rsidP="004A5EA0">
            <w:pPr>
              <w:spacing w:before="100"/>
              <w:jc w:val="both"/>
              <w:rPr>
                <w:color w:val="000000"/>
                <w:sz w:val="20"/>
                <w:lang w:val="lt-LT"/>
              </w:rPr>
            </w:pPr>
            <w:r w:rsidRPr="009201B2">
              <w:rPr>
                <w:color w:val="000000"/>
                <w:sz w:val="20"/>
                <w:lang w:val="lt-LT"/>
              </w:rPr>
              <w:t>1. Veiksmingi viešųjų pirkimų rinkos stebėsenos mechanizmai</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6618D"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92B2C" w14:textId="77777777" w:rsidR="00A77B3E" w:rsidRPr="009201B2" w:rsidRDefault="00003C2A" w:rsidP="004A5EA0">
            <w:pPr>
              <w:spacing w:before="100"/>
              <w:jc w:val="both"/>
              <w:rPr>
                <w:color w:val="000000"/>
                <w:sz w:val="20"/>
                <w:lang w:val="lt-LT"/>
              </w:rPr>
            </w:pPr>
            <w:r w:rsidRPr="009201B2">
              <w:rPr>
                <w:color w:val="000000"/>
                <w:sz w:val="20"/>
                <w:lang w:val="lt-LT"/>
              </w:rPr>
              <w:t>Taikomi stebėsenos mechanizmai, kurie apima visas viešąsias sutartis ir jų viešuosius pirkimus iš fondų pagal Sąjungos viešųjų pirkimų teisės aktus. Šis reikalavimas apima:</w:t>
            </w:r>
          </w:p>
          <w:p w14:paraId="279A25BB" w14:textId="77777777" w:rsidR="00A77B3E" w:rsidRPr="009201B2" w:rsidRDefault="00003C2A" w:rsidP="004A5EA0">
            <w:pPr>
              <w:spacing w:before="100"/>
              <w:jc w:val="both"/>
              <w:rPr>
                <w:color w:val="000000"/>
                <w:sz w:val="20"/>
                <w:lang w:val="lt-LT"/>
              </w:rPr>
            </w:pPr>
            <w:r w:rsidRPr="009201B2">
              <w:rPr>
                <w:color w:val="000000"/>
                <w:sz w:val="20"/>
                <w:lang w:val="lt-LT"/>
              </w:rPr>
              <w:t>1. Priemonės, kuriomis užtikrinamas veiksmingų ir patikimų duomenų apie viešųjų pirkimų procedūras, viršijančias Sąjungos ribas, rinkimas pagal Direktyvos 2014/24/ES 83 ir 84 straipsniuose ir Direktyvos 2014/25/ES 99 ir 100 straipsniuose nustatytas ataskaitų teikimo prievoles.</w:t>
            </w:r>
          </w:p>
          <w:p w14:paraId="5FA63C64" w14:textId="77777777" w:rsidR="00A77B3E" w:rsidRPr="009201B2" w:rsidRDefault="00A77B3E">
            <w:pPr>
              <w:spacing w:before="100"/>
              <w:rPr>
                <w:color w:val="000000"/>
                <w:sz w:val="20"/>
                <w:lang w:val="lt-LT"/>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7B0C8"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5A413" w14:textId="77777777" w:rsidR="00A77B3E" w:rsidRPr="009201B2" w:rsidRDefault="00003C2A" w:rsidP="004A5EA0">
            <w:pPr>
              <w:spacing w:before="100"/>
              <w:jc w:val="both"/>
              <w:rPr>
                <w:color w:val="000000"/>
                <w:sz w:val="20"/>
                <w:lang w:val="lt-LT"/>
              </w:rPr>
            </w:pPr>
            <w:r w:rsidRPr="009201B2">
              <w:rPr>
                <w:color w:val="000000"/>
                <w:sz w:val="20"/>
                <w:lang w:val="lt-LT"/>
              </w:rPr>
              <w:t>https://www.e-tar.lt/portal/lt/legalAct/TAR.C54AFFAA7622/asr Lietuvos Respublikos viešųjų pirkimų įstatymas (VPĮ):</w:t>
            </w:r>
          </w:p>
          <w:p w14:paraId="7DA44850" w14:textId="77777777" w:rsidR="00A77B3E" w:rsidRPr="009201B2" w:rsidRDefault="00003C2A" w:rsidP="004A5EA0">
            <w:pPr>
              <w:spacing w:before="100"/>
              <w:jc w:val="both"/>
              <w:rPr>
                <w:color w:val="000000"/>
                <w:sz w:val="20"/>
                <w:lang w:val="lt-LT"/>
              </w:rPr>
            </w:pPr>
            <w:r w:rsidRPr="009201B2">
              <w:rPr>
                <w:color w:val="000000"/>
                <w:sz w:val="20"/>
                <w:lang w:val="lt-LT"/>
              </w:rPr>
              <w:t>• 96 str. (Perkančiųjų organizacijų registracija ir pirkimų ataskaitos)</w:t>
            </w:r>
          </w:p>
          <w:p w14:paraId="227715FB" w14:textId="77777777" w:rsidR="00A77B3E" w:rsidRPr="009201B2" w:rsidRDefault="00003C2A" w:rsidP="004A5EA0">
            <w:pPr>
              <w:spacing w:before="100"/>
              <w:jc w:val="both"/>
              <w:rPr>
                <w:color w:val="000000"/>
                <w:sz w:val="20"/>
                <w:lang w:val="lt-LT"/>
              </w:rPr>
            </w:pPr>
            <w:r w:rsidRPr="009201B2">
              <w:rPr>
                <w:color w:val="000000"/>
                <w:sz w:val="20"/>
                <w:lang w:val="lt-LT"/>
              </w:rPr>
              <w:t>• 98 str. (Pirkimų stebėsenos ataskaita)</w:t>
            </w:r>
          </w:p>
          <w:p w14:paraId="4D930DD5" w14:textId="77777777" w:rsidR="00A77B3E" w:rsidRPr="009201B2" w:rsidRDefault="00003C2A" w:rsidP="004A5EA0">
            <w:pPr>
              <w:spacing w:before="100"/>
              <w:jc w:val="both"/>
              <w:rPr>
                <w:color w:val="000000"/>
                <w:sz w:val="20"/>
                <w:lang w:val="lt-LT"/>
              </w:rPr>
            </w:pPr>
            <w:r w:rsidRPr="009201B2">
              <w:rPr>
                <w:color w:val="000000"/>
                <w:sz w:val="20"/>
                <w:lang w:val="lt-LT"/>
              </w:rPr>
              <w:t>https://e-seimas.lrs.lt/portal/legalAct/lt/TAD/f82d89d12fcb11e79f4996496b137f39/as</w:t>
            </w:r>
          </w:p>
          <w:p w14:paraId="1D868171" w14:textId="77777777" w:rsidR="00A77B3E" w:rsidRPr="009201B2" w:rsidRDefault="00003C2A" w:rsidP="004A5EA0">
            <w:pPr>
              <w:spacing w:before="100"/>
              <w:jc w:val="both"/>
              <w:rPr>
                <w:color w:val="000000"/>
                <w:sz w:val="20"/>
                <w:lang w:val="lt-LT"/>
              </w:rPr>
            </w:pPr>
            <w:r w:rsidRPr="009201B2">
              <w:rPr>
                <w:color w:val="000000"/>
                <w:sz w:val="20"/>
                <w:lang w:val="lt-LT"/>
              </w:rPr>
              <w:t>• 102 str. (to paties tipo norma kaip VPĮ)</w:t>
            </w:r>
          </w:p>
          <w:p w14:paraId="4C209674" w14:textId="77777777" w:rsidR="00A77B3E" w:rsidRPr="009201B2" w:rsidRDefault="00003C2A" w:rsidP="004A5EA0">
            <w:pPr>
              <w:spacing w:before="100"/>
              <w:jc w:val="both"/>
              <w:rPr>
                <w:color w:val="000000"/>
                <w:sz w:val="20"/>
                <w:lang w:val="lt-LT"/>
              </w:rPr>
            </w:pPr>
            <w:r w:rsidRPr="009201B2">
              <w:rPr>
                <w:color w:val="000000"/>
                <w:sz w:val="20"/>
                <w:lang w:val="lt-LT"/>
              </w:rPr>
              <w:t>• 104 str. (to paties tipo norma kaip VPĮ)</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8C825" w14:textId="77777777" w:rsidR="00A77B3E" w:rsidRPr="009201B2" w:rsidRDefault="00003C2A" w:rsidP="004A5EA0">
            <w:pPr>
              <w:spacing w:before="100"/>
              <w:jc w:val="both"/>
              <w:rPr>
                <w:color w:val="000000"/>
                <w:sz w:val="20"/>
                <w:lang w:val="lt-LT"/>
              </w:rPr>
            </w:pPr>
            <w:r w:rsidRPr="009201B2">
              <w:rPr>
                <w:color w:val="000000"/>
                <w:sz w:val="20"/>
                <w:lang w:val="lt-LT"/>
              </w:rPr>
              <w:t>VPĮ 96 str. Ir PĮ 102 str. nustato reikalavimą pateikti pirkimo procedūrų ataskaitas ir baigtinį sąrašą atvejų, kai tokios ataskaitos neteikiamos, taip pat nustato prievolę teikti metines pirkimų ataskaitas.</w:t>
            </w:r>
          </w:p>
          <w:p w14:paraId="3262EB6A" w14:textId="77777777" w:rsidR="00A77B3E" w:rsidRPr="009201B2" w:rsidRDefault="00003C2A" w:rsidP="004A5EA0">
            <w:pPr>
              <w:spacing w:before="100"/>
              <w:jc w:val="both"/>
              <w:rPr>
                <w:color w:val="000000"/>
                <w:sz w:val="20"/>
                <w:lang w:val="lt-LT"/>
              </w:rPr>
            </w:pPr>
            <w:r w:rsidRPr="009201B2">
              <w:rPr>
                <w:color w:val="000000"/>
                <w:sz w:val="20"/>
                <w:lang w:val="lt-LT"/>
              </w:rPr>
              <w:t>VPĮ 98 str. Ir PĮ 104 str. Nustato reikalavimą parengti ir pateikti pirkimų stebėsenos ataskaitą Europos Komisijai. Stebėsenos ataskaita teikiama pagal Europos Komisijos nustatytą formą ir viešai prieinama adresu: http://vpt.lrv.lt/uploads/vpt/documents/files/Pirkimu_stebesenos_ataskaita_2017_m.pdf</w:t>
            </w:r>
          </w:p>
          <w:p w14:paraId="17EE0F49" w14:textId="77777777" w:rsidR="00A77B3E" w:rsidRPr="009201B2" w:rsidRDefault="00A77B3E" w:rsidP="004A5EA0">
            <w:pPr>
              <w:spacing w:before="100"/>
              <w:jc w:val="both"/>
              <w:rPr>
                <w:color w:val="000000"/>
                <w:sz w:val="20"/>
                <w:lang w:val="lt-LT"/>
              </w:rPr>
            </w:pPr>
          </w:p>
        </w:tc>
      </w:tr>
      <w:tr w:rsidR="00535D32" w:rsidRPr="007F5D2D" w14:paraId="75F6008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7225B"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DDBB1"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1FEF3" w14:textId="77777777" w:rsidR="00A77B3E" w:rsidRPr="009201B2" w:rsidRDefault="00003C2A" w:rsidP="004A5EA0">
            <w:pPr>
              <w:spacing w:before="100"/>
              <w:jc w:val="both"/>
              <w:rPr>
                <w:color w:val="000000"/>
                <w:sz w:val="20"/>
                <w:lang w:val="lt-LT"/>
              </w:rPr>
            </w:pPr>
            <w:r w:rsidRPr="009201B2">
              <w:rPr>
                <w:color w:val="000000"/>
                <w:sz w:val="20"/>
                <w:lang w:val="lt-LT"/>
              </w:rPr>
              <w:t xml:space="preserve">2. Priemonės, užtikrinančios, kad duomenys apimtų bent šiuos elementus: </w:t>
            </w:r>
          </w:p>
          <w:p w14:paraId="080E8E9E" w14:textId="77777777" w:rsidR="00A77B3E" w:rsidRPr="009201B2" w:rsidRDefault="00003C2A" w:rsidP="004A5EA0">
            <w:pPr>
              <w:spacing w:before="100"/>
              <w:jc w:val="both"/>
              <w:rPr>
                <w:color w:val="000000"/>
                <w:sz w:val="20"/>
                <w:lang w:val="lt-LT"/>
              </w:rPr>
            </w:pPr>
            <w:r w:rsidRPr="009201B2">
              <w:rPr>
                <w:color w:val="000000"/>
                <w:sz w:val="20"/>
                <w:lang w:val="lt-LT"/>
              </w:rPr>
              <w:t xml:space="preserve">a) konkurencijos kokybė ir intensyvumas: laimėtojo pavadinimai, pradinių dalyvių skaičius ir sutarties vertė; </w:t>
            </w:r>
          </w:p>
          <w:p w14:paraId="3181EAD0" w14:textId="77777777" w:rsidR="00A77B3E" w:rsidRPr="009201B2" w:rsidRDefault="00003C2A" w:rsidP="004A5EA0">
            <w:pPr>
              <w:spacing w:before="100"/>
              <w:jc w:val="both"/>
              <w:rPr>
                <w:color w:val="000000"/>
                <w:sz w:val="20"/>
                <w:lang w:val="lt-LT"/>
              </w:rPr>
            </w:pPr>
            <w:r w:rsidRPr="009201B2">
              <w:rPr>
                <w:color w:val="000000"/>
                <w:sz w:val="20"/>
                <w:lang w:val="lt-LT"/>
              </w:rPr>
              <w:t>b) informacija apie galutinę kainą po darbų užbaigimo ir apie MVĮ dalyvavimą kaip tiesioginių konkurso dalyvių, jei nacionalinėse sistemose tokia informacija pateikiama.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9F5DE"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A2A5A" w14:textId="77777777" w:rsidR="00A77B3E" w:rsidRPr="009201B2" w:rsidRDefault="00003C2A" w:rsidP="004A5EA0">
            <w:pPr>
              <w:spacing w:before="100"/>
              <w:jc w:val="both"/>
              <w:rPr>
                <w:color w:val="000000"/>
                <w:sz w:val="20"/>
                <w:lang w:val="lt-LT"/>
              </w:rPr>
            </w:pPr>
            <w:r w:rsidRPr="009201B2">
              <w:rPr>
                <w:color w:val="000000"/>
                <w:sz w:val="20"/>
                <w:lang w:val="lt-LT"/>
              </w:rPr>
              <w:t xml:space="preserve">(a) Įgyvendina Viešųjų pirkimų ir pirkimų ataskaitų rengimo ir teikimo tvarkos aprašas https://www.e-tar.lt/portal/lt/legalAct/784977e04b7f11e7846ef01bfffb9b64/asr </w:t>
            </w:r>
          </w:p>
          <w:p w14:paraId="3E379D55" w14:textId="77777777" w:rsidR="00A77B3E" w:rsidRPr="009201B2" w:rsidRDefault="00003C2A" w:rsidP="004A5EA0">
            <w:pPr>
              <w:spacing w:before="100"/>
              <w:jc w:val="both"/>
              <w:rPr>
                <w:color w:val="000000"/>
                <w:sz w:val="20"/>
                <w:lang w:val="lt-LT"/>
              </w:rPr>
            </w:pPr>
            <w:r w:rsidRPr="009201B2">
              <w:rPr>
                <w:color w:val="000000"/>
                <w:sz w:val="20"/>
                <w:lang w:val="lt-LT"/>
              </w:rPr>
              <w:t>(b) Pareigos teikti informaciją apie galutinę sutarties kainą, ja įvykdžius, nėra, tačiau sudarytos sutarties vertė nurodoma skelbiant ataskaitas, skelbimus apie sutarties sudarymą, skelbiant sudarytas sutartis registre.</w:t>
            </w:r>
          </w:p>
          <w:p w14:paraId="769B8929" w14:textId="77777777" w:rsidR="00A77B3E" w:rsidRPr="009201B2" w:rsidRDefault="00003C2A" w:rsidP="004A5EA0">
            <w:pPr>
              <w:spacing w:before="100"/>
              <w:jc w:val="both"/>
              <w:rPr>
                <w:color w:val="000000"/>
                <w:sz w:val="20"/>
                <w:lang w:val="lt-LT"/>
              </w:rPr>
            </w:pPr>
            <w:r w:rsidRPr="009201B2">
              <w:rPr>
                <w:color w:val="000000"/>
                <w:sz w:val="20"/>
                <w:lang w:val="lt-LT"/>
              </w:rPr>
              <w:t>Informacija apie MVĮ kaip tiesioginius pirkimo dalyvius surenkama per Europos bendrąjį viešųjų pirkimų dokumentą – tiekėjai pažymi aktualų laukelį pildydami EBVPD &lt;...&gt;</w:t>
            </w:r>
          </w:p>
          <w:p w14:paraId="47E9EE71"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D4B53" w14:textId="77777777" w:rsidR="00A77B3E" w:rsidRPr="009201B2" w:rsidRDefault="00003C2A" w:rsidP="004A5EA0">
            <w:pPr>
              <w:spacing w:before="100"/>
              <w:jc w:val="both"/>
              <w:rPr>
                <w:color w:val="000000"/>
                <w:sz w:val="20"/>
                <w:lang w:val="lt-LT"/>
              </w:rPr>
            </w:pPr>
            <w:r w:rsidRPr="009201B2">
              <w:rPr>
                <w:color w:val="000000"/>
                <w:sz w:val="20"/>
                <w:lang w:val="lt-LT"/>
              </w:rPr>
              <w:lastRenderedPageBreak/>
              <w:t>Šis teisės aktas nustato pareigą pateikti informaciją, nurodytą Direktyvos 2014/24/ES 84 str. ir Direktyvos 2014/24/ES 100 str. Pateikiama informacija apima visus aspektus, išvardintus šios formos stulpelyje „Kriterijai”.</w:t>
            </w:r>
          </w:p>
          <w:p w14:paraId="1FEFAD09" w14:textId="77777777" w:rsidR="00A77B3E" w:rsidRPr="009201B2" w:rsidRDefault="00003C2A" w:rsidP="004A5EA0">
            <w:pPr>
              <w:spacing w:before="100"/>
              <w:jc w:val="both"/>
              <w:rPr>
                <w:color w:val="000000"/>
                <w:sz w:val="20"/>
                <w:lang w:val="lt-LT"/>
              </w:rPr>
            </w:pPr>
            <w:r w:rsidRPr="009201B2">
              <w:rPr>
                <w:color w:val="000000"/>
                <w:sz w:val="20"/>
                <w:lang w:val="lt-LT"/>
              </w:rPr>
              <w:t>Procedūrų ataskaitos viešai prieinamos adresu: https://cvpp.eviesiejipirkimai.lt/ReportsOrProtocol</w:t>
            </w:r>
          </w:p>
          <w:p w14:paraId="48CDEBBD" w14:textId="77777777" w:rsidR="00A77B3E" w:rsidRPr="009201B2" w:rsidRDefault="00A77B3E" w:rsidP="004A5EA0">
            <w:pPr>
              <w:spacing w:before="100"/>
              <w:jc w:val="both"/>
              <w:rPr>
                <w:color w:val="000000"/>
                <w:sz w:val="20"/>
                <w:lang w:val="lt-LT"/>
              </w:rPr>
            </w:pPr>
          </w:p>
          <w:p w14:paraId="1ED997B7" w14:textId="77777777" w:rsidR="00A77B3E" w:rsidRPr="009201B2" w:rsidRDefault="00003C2A" w:rsidP="004A5EA0">
            <w:pPr>
              <w:spacing w:before="100"/>
              <w:jc w:val="both"/>
              <w:rPr>
                <w:color w:val="000000"/>
                <w:sz w:val="20"/>
                <w:lang w:val="lt-LT"/>
              </w:rPr>
            </w:pPr>
            <w:r w:rsidRPr="009201B2">
              <w:rPr>
                <w:color w:val="000000"/>
                <w:sz w:val="20"/>
                <w:lang w:val="lt-LT"/>
              </w:rPr>
              <w:t xml:space="preserve">b) Tiekėjas atsako į klausimą „Ar tiekėjas yra labai maža, maža ar vidutinė įmonė?“ pažymėdamas „Taip“ arba „Ne“. </w:t>
            </w:r>
          </w:p>
          <w:p w14:paraId="1C9E0A18" w14:textId="77777777" w:rsidR="00A77B3E" w:rsidRPr="009201B2" w:rsidRDefault="00003C2A" w:rsidP="004A5EA0">
            <w:pPr>
              <w:spacing w:before="100"/>
              <w:jc w:val="both"/>
              <w:rPr>
                <w:color w:val="000000"/>
                <w:sz w:val="20"/>
                <w:lang w:val="lt-LT"/>
              </w:rPr>
            </w:pPr>
            <w:r w:rsidRPr="009201B2">
              <w:rPr>
                <w:color w:val="000000"/>
                <w:sz w:val="20"/>
                <w:lang w:val="lt-LT"/>
              </w:rPr>
              <w:t xml:space="preserve">Atitinkamai, ši informacija vėliau pateikiama perkančiųjų organizacijų </w:t>
            </w:r>
            <w:r w:rsidRPr="009201B2">
              <w:rPr>
                <w:color w:val="000000"/>
                <w:sz w:val="20"/>
                <w:lang w:val="lt-LT"/>
              </w:rPr>
              <w:lastRenderedPageBreak/>
              <w:t>skelbimuose apie sudarytas sutartis tuo atveju, kai pirkimo vertė viršija tarptautinio pirkimo vertę</w:t>
            </w:r>
          </w:p>
        </w:tc>
      </w:tr>
      <w:tr w:rsidR="00535D32" w:rsidRPr="007F5D2D" w14:paraId="7B87330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00626"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8D36B"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39434" w14:textId="77777777" w:rsidR="00A77B3E" w:rsidRPr="009201B2" w:rsidRDefault="00003C2A" w:rsidP="004A5EA0">
            <w:pPr>
              <w:spacing w:before="100"/>
              <w:jc w:val="both"/>
              <w:rPr>
                <w:color w:val="000000"/>
                <w:sz w:val="20"/>
                <w:lang w:val="lt-LT"/>
              </w:rPr>
            </w:pPr>
            <w:r w:rsidRPr="009201B2">
              <w:rPr>
                <w:color w:val="000000"/>
                <w:sz w:val="20"/>
                <w:lang w:val="lt-LT"/>
              </w:rPr>
              <w:t>3. Priemonės, kuriomis užtikrinama kompetentingų nacionalinių institucijų vykdoma duomenų stebėsena ir analizė pagal Direktyvos 2014/24/ES 83 straipsnio 2 dalį ir Direktyvos 2014/25/ES 99 straipsnio 2 dalį.</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94AAF"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2F378" w14:textId="77777777" w:rsidR="00A77B3E" w:rsidRPr="009201B2" w:rsidRDefault="00003C2A" w:rsidP="004A5EA0">
            <w:pPr>
              <w:spacing w:before="100"/>
              <w:jc w:val="both"/>
              <w:rPr>
                <w:color w:val="000000"/>
                <w:sz w:val="20"/>
                <w:lang w:val="lt-LT"/>
              </w:rPr>
            </w:pPr>
            <w:r w:rsidRPr="009201B2">
              <w:rPr>
                <w:color w:val="000000"/>
                <w:sz w:val="20"/>
                <w:lang w:val="lt-LT"/>
              </w:rPr>
              <w:t>-VPĮ 95 str. 1 d. 5 p. (pareiga VPT rinkti, kaupti ir analizuoti informaciją apie pirkimus, pirkimų sutartis, preliminariąsias sutartis ir pirkimo sutarčių įvykdymo rezultatus, pirkimų ginčus, nustatytus tvarkos pažeidimus ir praktikoje pasitaikančias problemas. Šią informaciją, išskyrus konfidencialią, skelbti Viešųjų pirkimų tarnybos interneto svetainėje ir (arba) Centrinėje viešųjų pirkimų informacinėje sistemoje ir teikti EK, valstybės, savivaldybių institucijoms</w:t>
            </w:r>
          </w:p>
          <w:p w14:paraId="6F22F88A" w14:textId="77777777" w:rsidR="00A77B3E" w:rsidRPr="009201B2" w:rsidRDefault="00003C2A" w:rsidP="004A5EA0">
            <w:pPr>
              <w:spacing w:before="100"/>
              <w:jc w:val="both"/>
              <w:rPr>
                <w:color w:val="000000"/>
                <w:sz w:val="20"/>
                <w:lang w:val="lt-LT"/>
              </w:rPr>
            </w:pPr>
            <w:r w:rsidRPr="009201B2">
              <w:rPr>
                <w:color w:val="000000"/>
                <w:sz w:val="20"/>
                <w:lang w:val="lt-LT"/>
              </w:rPr>
              <w:t>-VPĮ 95 str. 1 d. 6 p. (pareiga analizuoti ir teikti siūlymus tobulinti)</w:t>
            </w:r>
          </w:p>
          <w:p w14:paraId="2BA5BDF2"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4BFDD" w14:textId="77777777" w:rsidR="00A77B3E" w:rsidRPr="009201B2" w:rsidRDefault="00003C2A" w:rsidP="004A5EA0">
            <w:pPr>
              <w:spacing w:before="100"/>
              <w:jc w:val="both"/>
              <w:rPr>
                <w:color w:val="000000"/>
                <w:sz w:val="20"/>
                <w:lang w:val="lt-LT"/>
              </w:rPr>
            </w:pPr>
            <w:r w:rsidRPr="009201B2">
              <w:rPr>
                <w:color w:val="000000"/>
                <w:sz w:val="20"/>
                <w:lang w:val="lt-LT"/>
              </w:rPr>
              <w:t>Pažymėtina, kad atsižvelgiant į pirkimų praktikos problemas ir aktualijas:</w:t>
            </w:r>
          </w:p>
          <w:p w14:paraId="69F137AE" w14:textId="77777777" w:rsidR="00A77B3E" w:rsidRPr="009201B2" w:rsidRDefault="00003C2A" w:rsidP="004A5EA0">
            <w:pPr>
              <w:spacing w:before="100"/>
              <w:jc w:val="both"/>
              <w:rPr>
                <w:color w:val="000000"/>
                <w:sz w:val="20"/>
                <w:lang w:val="lt-LT"/>
              </w:rPr>
            </w:pPr>
            <w:r w:rsidRPr="009201B2">
              <w:rPr>
                <w:color w:val="000000"/>
                <w:sz w:val="20"/>
                <w:lang w:val="lt-LT"/>
              </w:rPr>
              <w:t>•</w:t>
            </w:r>
            <w:r w:rsidRPr="009201B2">
              <w:rPr>
                <w:color w:val="000000"/>
                <w:sz w:val="20"/>
                <w:lang w:val="lt-LT"/>
              </w:rPr>
              <w:tab/>
              <w:t>Nurodoma problematika ir teikiami konkretūs siūlymai LR EIM, Lietuvos Respublikos Seimo komitetams, kompetentingoms institucijoms (ministerijoms irk t.);</w:t>
            </w:r>
          </w:p>
          <w:p w14:paraId="65F20977" w14:textId="77777777" w:rsidR="00A77B3E" w:rsidRPr="009201B2" w:rsidRDefault="00003C2A" w:rsidP="004A5EA0">
            <w:pPr>
              <w:spacing w:before="100"/>
              <w:jc w:val="both"/>
              <w:rPr>
                <w:color w:val="000000"/>
                <w:sz w:val="20"/>
                <w:lang w:val="lt-LT"/>
              </w:rPr>
            </w:pPr>
            <w:r w:rsidRPr="009201B2">
              <w:rPr>
                <w:color w:val="000000"/>
                <w:sz w:val="20"/>
                <w:lang w:val="lt-LT"/>
              </w:rPr>
              <w:t>•</w:t>
            </w:r>
            <w:r w:rsidRPr="009201B2">
              <w:rPr>
                <w:color w:val="000000"/>
                <w:sz w:val="20"/>
                <w:lang w:val="lt-LT"/>
              </w:rPr>
              <w:tab/>
              <w:t>Atliekamos teminės analizės ir apžvalgos: http://vpt.lrv.lt/lt/statistika-ir-analize;</w:t>
            </w:r>
          </w:p>
          <w:p w14:paraId="116212B8" w14:textId="77777777" w:rsidR="00A77B3E" w:rsidRPr="009201B2" w:rsidRDefault="00003C2A" w:rsidP="004A5EA0">
            <w:pPr>
              <w:spacing w:before="100"/>
              <w:jc w:val="both"/>
              <w:rPr>
                <w:color w:val="000000"/>
                <w:sz w:val="20"/>
                <w:lang w:val="lt-LT"/>
              </w:rPr>
            </w:pPr>
            <w:r w:rsidRPr="009201B2">
              <w:rPr>
                <w:color w:val="000000"/>
                <w:sz w:val="20"/>
                <w:lang w:val="lt-LT"/>
              </w:rPr>
              <w:t>•</w:t>
            </w:r>
            <w:r w:rsidRPr="009201B2">
              <w:rPr>
                <w:color w:val="000000"/>
                <w:sz w:val="20"/>
                <w:lang w:val="lt-LT"/>
              </w:rPr>
              <w:tab/>
              <w:t>Organizuojami mokymai, rengiama mokomoji ir metodinė medžiaga (gairės, informaciniai pranešimai, dažniausiai užduodami klausimai, kt.).</w:t>
            </w:r>
          </w:p>
          <w:p w14:paraId="7A74D350" w14:textId="77777777" w:rsidR="00A77B3E" w:rsidRPr="009201B2" w:rsidRDefault="00003C2A" w:rsidP="004A5EA0">
            <w:pPr>
              <w:spacing w:before="100"/>
              <w:jc w:val="both"/>
              <w:rPr>
                <w:color w:val="000000"/>
                <w:sz w:val="20"/>
                <w:lang w:val="lt-LT"/>
              </w:rPr>
            </w:pPr>
            <w:r w:rsidRPr="009201B2">
              <w:rPr>
                <w:color w:val="000000"/>
                <w:sz w:val="20"/>
                <w:lang w:val="lt-LT"/>
              </w:rPr>
              <w:t>•</w:t>
            </w:r>
            <w:r w:rsidRPr="009201B2">
              <w:rPr>
                <w:color w:val="000000"/>
                <w:sz w:val="20"/>
                <w:lang w:val="lt-LT"/>
              </w:rPr>
              <w:tab/>
              <w:t>Siekiant efektyviau organizuoti pirkimus ir užtikrinti didesnę konkurenciją, įgyvendinamas profesionalumo stiprinimo planas, pagal kurį yra rengiamos rekomenduojamos pirkimų specialistų mokymo programos, mokymų medžiaga ir nuotolinio mokymo moduliai.</w:t>
            </w:r>
          </w:p>
          <w:p w14:paraId="6EDBA649" w14:textId="77777777" w:rsidR="00A77B3E" w:rsidRPr="009201B2" w:rsidRDefault="00003C2A" w:rsidP="004A5EA0">
            <w:pPr>
              <w:spacing w:before="100"/>
              <w:jc w:val="both"/>
              <w:rPr>
                <w:color w:val="000000"/>
                <w:sz w:val="20"/>
                <w:lang w:val="lt-LT"/>
              </w:rPr>
            </w:pPr>
            <w:r w:rsidRPr="009201B2">
              <w:rPr>
                <w:color w:val="000000"/>
                <w:sz w:val="20"/>
                <w:lang w:val="lt-LT"/>
              </w:rPr>
              <w:t>•</w:t>
            </w:r>
            <w:r w:rsidRPr="009201B2">
              <w:rPr>
                <w:color w:val="000000"/>
                <w:sz w:val="20"/>
                <w:lang w:val="lt-LT"/>
              </w:rPr>
              <w:tab/>
              <w:t>Įgyvendinus Viešųjų pirkimų profesionalumo stiprinimo planą, numatoma, kad į Viešųjų pirkimų mokymo programas bus įtrauktos temos dėl strateginių (žaliųjų, inovatyvių, socialiai atsakingų) viešųjų pirkimų organizavimo, rinkos tyrimų, techninių specifikacijų rengimo, pasiūlymų vertinimo ir pan., kurios yra reikalingos siekiant efektyviau organizuoti viešuosius pirkimus ir užtikrinti didesnę konkurenciją.</w:t>
            </w:r>
          </w:p>
        </w:tc>
      </w:tr>
      <w:tr w:rsidR="00535D32" w:rsidRPr="009201B2" w14:paraId="7D08477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DA522"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4BA21"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56758" w14:textId="77777777" w:rsidR="00A77B3E" w:rsidRPr="009201B2" w:rsidRDefault="00003C2A" w:rsidP="004A5EA0">
            <w:pPr>
              <w:spacing w:before="100"/>
              <w:jc w:val="both"/>
              <w:rPr>
                <w:color w:val="000000"/>
                <w:sz w:val="20"/>
                <w:lang w:val="lt-LT"/>
              </w:rPr>
            </w:pPr>
            <w:r w:rsidRPr="009201B2">
              <w:rPr>
                <w:color w:val="000000"/>
                <w:sz w:val="20"/>
                <w:lang w:val="lt-LT"/>
              </w:rPr>
              <w:t>4. Priemonės, skirtos analizės rezultatams pateikti visuomenei pagal Direktyvos 2014/24/ES 83 straipsnio 3 dalį ir Direktyvos 2014/25/ES 99 straipsnio 3 dalį.</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A6F43"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B4472" w14:textId="77777777" w:rsidR="00A77B3E" w:rsidRPr="009201B2" w:rsidRDefault="00003C2A" w:rsidP="004A5EA0">
            <w:pPr>
              <w:spacing w:before="100"/>
              <w:jc w:val="both"/>
              <w:rPr>
                <w:color w:val="000000"/>
                <w:sz w:val="20"/>
                <w:lang w:val="lt-LT"/>
              </w:rPr>
            </w:pPr>
            <w:r w:rsidRPr="009201B2">
              <w:rPr>
                <w:color w:val="000000"/>
                <w:sz w:val="20"/>
                <w:lang w:val="lt-LT"/>
              </w:rPr>
              <w:t>Lietuvos Respublikos viešųjų pirkimų įstatymas (VPĮ):</w:t>
            </w:r>
          </w:p>
          <w:p w14:paraId="6F7D7A7D" w14:textId="77777777" w:rsidR="00A77B3E" w:rsidRPr="009201B2" w:rsidRDefault="00003C2A" w:rsidP="004A5EA0">
            <w:pPr>
              <w:spacing w:before="100"/>
              <w:jc w:val="both"/>
              <w:rPr>
                <w:color w:val="000000"/>
                <w:sz w:val="20"/>
                <w:lang w:val="lt-LT"/>
              </w:rPr>
            </w:pPr>
            <w:r w:rsidRPr="009201B2">
              <w:rPr>
                <w:color w:val="000000"/>
                <w:sz w:val="20"/>
                <w:lang w:val="lt-LT"/>
              </w:rPr>
              <w:t>- 98 str. (Pirkimų stebėsenos ataskaita)</w:t>
            </w:r>
          </w:p>
          <w:p w14:paraId="3BD10CA4" w14:textId="77777777" w:rsidR="00A77B3E" w:rsidRPr="009201B2" w:rsidRDefault="00003C2A" w:rsidP="004A5EA0">
            <w:pPr>
              <w:spacing w:before="100"/>
              <w:jc w:val="both"/>
              <w:rPr>
                <w:color w:val="000000"/>
                <w:sz w:val="20"/>
                <w:lang w:val="lt-LT"/>
              </w:rPr>
            </w:pPr>
            <w:r w:rsidRPr="009201B2">
              <w:rPr>
                <w:color w:val="000000"/>
                <w:sz w:val="20"/>
                <w:lang w:val="lt-LT"/>
              </w:rPr>
              <w:t>Lietuvos Respublikos pirkimų, atliekamų vandentvarkos, energetikos, transporto ir pašto paslaugų srities perkančiųjų subjektų, įstatymas (PĮ):</w:t>
            </w:r>
          </w:p>
          <w:p w14:paraId="5DDEB389" w14:textId="77777777" w:rsidR="00A77B3E" w:rsidRPr="009201B2" w:rsidRDefault="00003C2A" w:rsidP="004A5EA0">
            <w:pPr>
              <w:spacing w:before="100"/>
              <w:jc w:val="both"/>
              <w:rPr>
                <w:color w:val="000000"/>
                <w:sz w:val="20"/>
                <w:lang w:val="lt-LT"/>
              </w:rPr>
            </w:pPr>
            <w:r w:rsidRPr="009201B2">
              <w:rPr>
                <w:color w:val="000000"/>
                <w:sz w:val="20"/>
                <w:lang w:val="lt-LT"/>
              </w:rPr>
              <w:t>- 104 str. (to paties tipo norma kaip VPĮ)</w:t>
            </w:r>
          </w:p>
          <w:p w14:paraId="439A854E"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8E8D1" w14:textId="77777777" w:rsidR="00A77B3E" w:rsidRPr="009201B2" w:rsidRDefault="00003C2A" w:rsidP="004A5EA0">
            <w:pPr>
              <w:spacing w:before="100"/>
              <w:jc w:val="both"/>
              <w:rPr>
                <w:color w:val="000000"/>
                <w:sz w:val="20"/>
                <w:lang w:val="lt-LT"/>
              </w:rPr>
            </w:pPr>
            <w:r w:rsidRPr="009201B2">
              <w:rPr>
                <w:color w:val="000000"/>
                <w:sz w:val="20"/>
                <w:lang w:val="lt-LT"/>
              </w:rPr>
              <w:t>VPĮ 98 str. Ir PĮ 104 str. nustato reikalavimą parengti ir pateikti pirkimų stebėsenos ataskaitą Europos Komisijai. Stebėsenos ataskaita teikiama pagal Europos Komisijos nustatytą formą ir viešai prieinama adresu: http://vpt.lrv.lt/uploads/vpt/documents/files/Pirkimu_stebesenos_ataskaita_2017_m.pdf</w:t>
            </w:r>
          </w:p>
        </w:tc>
      </w:tr>
      <w:tr w:rsidR="00535D32" w:rsidRPr="009201B2" w14:paraId="6F3BB6C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B244F"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CB075"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5676" w14:textId="77777777" w:rsidR="00A77B3E" w:rsidRPr="009201B2" w:rsidRDefault="00003C2A" w:rsidP="004A5EA0">
            <w:pPr>
              <w:spacing w:before="100"/>
              <w:jc w:val="both"/>
              <w:rPr>
                <w:color w:val="000000"/>
                <w:sz w:val="20"/>
                <w:lang w:val="lt-LT"/>
              </w:rPr>
            </w:pPr>
            <w:r w:rsidRPr="009201B2">
              <w:rPr>
                <w:color w:val="000000"/>
                <w:sz w:val="20"/>
                <w:lang w:val="lt-LT"/>
              </w:rPr>
              <w:t>5. Priemonės, kuriomis užtikrinama, kad visa informacija apie įtariamus manipuliavimo pasiūlymais atvejus būtų perduodama kompetentingoms nacionalinėms įstaigoms pagal Direktyvos 2014/24/ES 83 straipsnio 2 dalį ir Direktyvos 2014/25/ES 99 straipsnio 2 dalį.</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3E486"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2EBF5" w14:textId="77777777" w:rsidR="00A77B3E" w:rsidRPr="009201B2" w:rsidRDefault="00003C2A" w:rsidP="004A5EA0">
            <w:pPr>
              <w:spacing w:before="100"/>
              <w:jc w:val="both"/>
              <w:rPr>
                <w:color w:val="000000"/>
                <w:sz w:val="20"/>
                <w:lang w:val="lt-LT"/>
              </w:rPr>
            </w:pPr>
            <w:r w:rsidRPr="009201B2">
              <w:rPr>
                <w:color w:val="000000"/>
                <w:sz w:val="20"/>
                <w:lang w:val="lt-LT"/>
              </w:rPr>
              <w:t>Lietuvos Respublikos viešųjų pirkimų įstatymas (VPĮ):</w:t>
            </w:r>
          </w:p>
          <w:p w14:paraId="7642D278" w14:textId="77777777" w:rsidR="00A77B3E" w:rsidRPr="009201B2" w:rsidRDefault="00003C2A" w:rsidP="004A5EA0">
            <w:pPr>
              <w:spacing w:before="100"/>
              <w:jc w:val="both"/>
              <w:rPr>
                <w:color w:val="000000"/>
                <w:sz w:val="20"/>
                <w:lang w:val="lt-LT"/>
              </w:rPr>
            </w:pPr>
            <w:r w:rsidRPr="009201B2">
              <w:rPr>
                <w:color w:val="000000"/>
                <w:sz w:val="20"/>
                <w:lang w:val="lt-LT"/>
              </w:rPr>
              <w:t>- 95 str. 2 d. 8 p. (Viešųjų pirkimų tarnybos teisė nustačius VPĮ pažeidimus ar galimus Konkurencijos įstatymo pažeidimus, korupcijos apraiškas ar dokumentų klastojimą, medžiagą tolesniam tyrimui perduoti teisėsaugos institucijoms ar kitoms valstybės institucijos nagrinėti pagal kompetenciją).</w:t>
            </w:r>
          </w:p>
          <w:p w14:paraId="7C9135D5" w14:textId="77777777" w:rsidR="00A77B3E" w:rsidRPr="009201B2" w:rsidRDefault="00003C2A" w:rsidP="004A5EA0">
            <w:pPr>
              <w:spacing w:before="100"/>
              <w:jc w:val="both"/>
              <w:rPr>
                <w:color w:val="000000"/>
                <w:sz w:val="20"/>
                <w:lang w:val="lt-LT"/>
              </w:rPr>
            </w:pPr>
            <w:r w:rsidRPr="009201B2">
              <w:rPr>
                <w:color w:val="000000"/>
                <w:sz w:val="20"/>
                <w:lang w:val="lt-LT"/>
              </w:rPr>
              <w:t>Taigi, jei atlikdama pirkimų analizę ar vertinimus Viešųjų pirkimų tarnyba pastebėtų požymius, leidžiančius spręsti, kad egzistuoja konkurenciją ribojantys susitarimai, apie tai būtų pranešama Konkurencijos tarybai.</w:t>
            </w:r>
          </w:p>
          <w:p w14:paraId="69CB307A"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F9B27" w14:textId="77777777" w:rsidR="00A77B3E" w:rsidRPr="009201B2" w:rsidRDefault="00003C2A" w:rsidP="004A5EA0">
            <w:pPr>
              <w:spacing w:before="100"/>
              <w:jc w:val="both"/>
              <w:rPr>
                <w:color w:val="000000"/>
                <w:sz w:val="20"/>
                <w:lang w:val="lt-LT"/>
              </w:rPr>
            </w:pPr>
            <w:r w:rsidRPr="009201B2">
              <w:rPr>
                <w:color w:val="000000"/>
                <w:sz w:val="20"/>
                <w:lang w:val="lt-LT"/>
              </w:rPr>
              <w:t>2017 m. vasarį Viešųjų pirkimų tarnyba, Specialiųjų tyrimų tarnyba ir Konkurencijos taryba pasirašė trišalę bendradarbiavimo sutartį, kuri leidžia efektyviau išnaudoti institucijų potencialą suteikiant tarpusavio ekspertinę pagalbą bei dalinantis reikšminga informacija atliekant tyrimus dėl korupcijos, viešųjų pirkimų pažeidimų ir konkurenciją ribojančių susitarimų viešuosiuose pirkimuose, taip pat keliant institucijų darbuotojų kvalifikaciją: https://vpt.lrv.lt/lt/naujienos/pasirasyta-trisale-bendradarbiavimo-sutartis</w:t>
            </w:r>
          </w:p>
          <w:p w14:paraId="78BFF10B" w14:textId="77777777" w:rsidR="00A77B3E" w:rsidRPr="009201B2" w:rsidRDefault="00003C2A" w:rsidP="004A5EA0">
            <w:pPr>
              <w:spacing w:before="100"/>
              <w:jc w:val="both"/>
              <w:rPr>
                <w:color w:val="000000"/>
                <w:sz w:val="20"/>
                <w:lang w:val="lt-LT"/>
              </w:rPr>
            </w:pPr>
            <w:r w:rsidRPr="009201B2">
              <w:rPr>
                <w:color w:val="000000"/>
                <w:sz w:val="20"/>
                <w:lang w:val="lt-LT"/>
              </w:rPr>
              <w:t>Perkančiosios organizacijos gali ir savarankiškai pranešti kompetentingai institucijai – Konkurencijos tarybai – apie įtariamus konkurenciją ribojančių susitarimų atvejus.</w:t>
            </w:r>
          </w:p>
          <w:p w14:paraId="768F36F1" w14:textId="77777777" w:rsidR="00A77B3E" w:rsidRPr="009201B2" w:rsidRDefault="00003C2A" w:rsidP="004A5EA0">
            <w:pPr>
              <w:spacing w:before="100"/>
              <w:jc w:val="both"/>
              <w:rPr>
                <w:color w:val="000000"/>
                <w:sz w:val="20"/>
                <w:lang w:val="lt-LT"/>
              </w:rPr>
            </w:pPr>
            <w:r w:rsidRPr="009201B2">
              <w:rPr>
                <w:color w:val="000000"/>
                <w:sz w:val="20"/>
                <w:lang w:val="lt-LT"/>
              </w:rPr>
              <w:t xml:space="preserve">Pateikta informacija atspindi Direktyvos 2014/24/ES 83 straipsnio 2 dalyje pateiktą nuostatą. Šiame straipsnyje suteikiami įgaliojimai stebėsenos institucijoms, tačiau nėra nustatyta pareiga perkančiosioms organizacijoms („viešiesiems pirkėjams“) teikti informaciją apie įtariamus suderintus pasiūlymus kompetentingoms </w:t>
            </w:r>
            <w:r w:rsidRPr="009201B2">
              <w:rPr>
                <w:color w:val="000000"/>
                <w:sz w:val="20"/>
                <w:lang w:val="lt-LT"/>
              </w:rPr>
              <w:lastRenderedPageBreak/>
              <w:t>institucijoms.  Atitinkamai tokia pareiga „viešiesiems pirkėjams“ nėra nustatyta VPĮ.</w:t>
            </w:r>
          </w:p>
        </w:tc>
      </w:tr>
      <w:tr w:rsidR="00535D32" w:rsidRPr="009201B2" w14:paraId="2485425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0F565" w14:textId="77777777" w:rsidR="00A77B3E" w:rsidRPr="009201B2" w:rsidRDefault="00003C2A" w:rsidP="004A5EA0">
            <w:pPr>
              <w:spacing w:before="100"/>
              <w:jc w:val="both"/>
              <w:rPr>
                <w:color w:val="000000"/>
                <w:sz w:val="20"/>
                <w:lang w:val="lt-LT"/>
              </w:rPr>
            </w:pPr>
            <w:r w:rsidRPr="009201B2">
              <w:rPr>
                <w:color w:val="000000"/>
                <w:sz w:val="20"/>
                <w:lang w:val="lt-LT"/>
              </w:rPr>
              <w:lastRenderedPageBreak/>
              <w:t>3. Veiksmingas pagrindinių teisių chartijos taikymas ir įgyvendinimas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0792"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64AC0" w14:textId="77777777" w:rsidR="00A77B3E" w:rsidRPr="009201B2" w:rsidRDefault="00003C2A" w:rsidP="004A5EA0">
            <w:pPr>
              <w:spacing w:before="100"/>
              <w:jc w:val="both"/>
              <w:rPr>
                <w:color w:val="000000"/>
                <w:sz w:val="20"/>
                <w:lang w:val="lt-LT"/>
              </w:rPr>
            </w:pPr>
            <w:r w:rsidRPr="009201B2">
              <w:rPr>
                <w:color w:val="000000"/>
                <w:sz w:val="20"/>
                <w:lang w:val="lt-LT"/>
              </w:rPr>
              <w:t xml:space="preserve">Siekiant užtikrinti, kad būtų laikomasi Europos Sąjungos pagrindinių teisių chartijos (toliau – Chartija), taikomi veiksmingi mechanizmai: </w:t>
            </w:r>
          </w:p>
          <w:p w14:paraId="255E7202" w14:textId="77777777" w:rsidR="00A77B3E" w:rsidRPr="009201B2" w:rsidRDefault="00003C2A" w:rsidP="004A5EA0">
            <w:pPr>
              <w:spacing w:before="100"/>
              <w:jc w:val="both"/>
              <w:rPr>
                <w:color w:val="000000"/>
                <w:sz w:val="20"/>
                <w:lang w:val="lt-LT"/>
              </w:rPr>
            </w:pPr>
            <w:r w:rsidRPr="009201B2">
              <w:rPr>
                <w:color w:val="000000"/>
                <w:sz w:val="20"/>
                <w:lang w:val="lt-LT"/>
              </w:rPr>
              <w:t>1. Tvarka, kuria būtų užtikrinama, kad lėšomis remiamos programos ir jų įgyvendinimas atitiktų susijusias Chartijos nuostatas.</w:t>
            </w:r>
          </w:p>
          <w:p w14:paraId="33486A6E" w14:textId="77777777" w:rsidR="00A77B3E" w:rsidRPr="009201B2" w:rsidRDefault="00A77B3E">
            <w:pPr>
              <w:spacing w:before="100"/>
              <w:rPr>
                <w:color w:val="000000"/>
                <w:sz w:val="20"/>
                <w:lang w:val="lt-LT"/>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7BE2C"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79160" w14:textId="77777777" w:rsidR="00A77B3E" w:rsidRPr="009201B2" w:rsidRDefault="00003C2A" w:rsidP="004A5EA0">
            <w:pPr>
              <w:spacing w:before="100"/>
              <w:jc w:val="both"/>
              <w:rPr>
                <w:color w:val="000000"/>
                <w:sz w:val="20"/>
                <w:lang w:val="lt-LT"/>
              </w:rPr>
            </w:pPr>
            <w:r w:rsidRPr="009201B2">
              <w:rPr>
                <w:color w:val="000000"/>
                <w:sz w:val="20"/>
                <w:lang w:val="lt-LT"/>
              </w:rPr>
              <w:t>1. Programos derinimas su socialiniais ir ekonominiais partneriais ir tarptautinių organizacijų atstovais Lietuvoje:</w:t>
            </w:r>
          </w:p>
          <w:p w14:paraId="6C50DF39" w14:textId="77777777" w:rsidR="00A77B3E" w:rsidRPr="009201B2" w:rsidRDefault="00003C2A" w:rsidP="004A5EA0">
            <w:pPr>
              <w:spacing w:before="100"/>
              <w:jc w:val="both"/>
              <w:rPr>
                <w:color w:val="000000"/>
                <w:sz w:val="20"/>
                <w:lang w:val="lt-LT"/>
              </w:rPr>
            </w:pPr>
            <w:r w:rsidRPr="009201B2">
              <w:rPr>
                <w:color w:val="000000"/>
                <w:sz w:val="20"/>
                <w:lang w:val="lt-LT"/>
              </w:rPr>
              <w:t>https://www.pmif.lt/pmif-21-27-m/pmif-programos-derinimas</w:t>
            </w:r>
          </w:p>
          <w:p w14:paraId="75907541" w14:textId="77777777" w:rsidR="00A77B3E" w:rsidRPr="009201B2" w:rsidRDefault="00003C2A" w:rsidP="004A5EA0">
            <w:pPr>
              <w:spacing w:before="100"/>
              <w:jc w:val="both"/>
              <w:rPr>
                <w:color w:val="000000"/>
                <w:sz w:val="20"/>
                <w:lang w:val="lt-LT"/>
              </w:rPr>
            </w:pPr>
            <w:r w:rsidRPr="009201B2">
              <w:rPr>
                <w:color w:val="000000"/>
                <w:sz w:val="20"/>
                <w:lang w:val="lt-LT"/>
              </w:rPr>
              <w:t>Tarpinstitucinės darbo grupės sudėtis:</w:t>
            </w:r>
          </w:p>
          <w:p w14:paraId="41EF4004" w14:textId="77777777" w:rsidR="00A77B3E" w:rsidRPr="009201B2" w:rsidRDefault="00003C2A" w:rsidP="004A5EA0">
            <w:pPr>
              <w:spacing w:before="100"/>
              <w:jc w:val="both"/>
              <w:rPr>
                <w:color w:val="000000"/>
                <w:sz w:val="20"/>
                <w:lang w:val="lt-LT"/>
              </w:rPr>
            </w:pPr>
            <w:r w:rsidRPr="009201B2">
              <w:rPr>
                <w:color w:val="000000"/>
                <w:sz w:val="20"/>
                <w:lang w:val="lt-LT"/>
              </w:rPr>
              <w:t>https://isf.lt/pasirengimas-2021-2027</w:t>
            </w:r>
          </w:p>
          <w:p w14:paraId="1277A79B" w14:textId="77777777" w:rsidR="00A77B3E" w:rsidRPr="009201B2" w:rsidRDefault="00003C2A" w:rsidP="004A5EA0">
            <w:pPr>
              <w:spacing w:before="100"/>
              <w:jc w:val="both"/>
              <w:rPr>
                <w:color w:val="000000"/>
                <w:sz w:val="20"/>
                <w:lang w:val="lt-LT"/>
              </w:rPr>
            </w:pPr>
            <w:r w:rsidRPr="009201B2">
              <w:rPr>
                <w:color w:val="000000"/>
                <w:sz w:val="20"/>
                <w:lang w:val="lt-LT"/>
              </w:rPr>
              <w:t>Bus numatyta naujo laikotarpio Stebėsenos komiteto darbo reglamento nuostatose</w:t>
            </w:r>
          </w:p>
          <w:p w14:paraId="1365AA19"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B2AD1" w14:textId="77777777" w:rsidR="00A77B3E" w:rsidRPr="009201B2" w:rsidRDefault="00003C2A" w:rsidP="004A5EA0">
            <w:pPr>
              <w:spacing w:before="100"/>
              <w:jc w:val="both"/>
              <w:rPr>
                <w:color w:val="000000"/>
                <w:sz w:val="20"/>
                <w:lang w:val="lt-LT"/>
              </w:rPr>
            </w:pPr>
            <w:r w:rsidRPr="009201B2">
              <w:rPr>
                <w:color w:val="000000"/>
                <w:sz w:val="20"/>
                <w:lang w:val="lt-LT"/>
              </w:rPr>
              <w:t xml:space="preserve">Atitinkamų Chartijos nuostatų laikymasis yra užtikrinamas visose Programos rengimo ir įgyvendinimo etapuose į Stebėsenos komiteto sudėtį įtraukiant socialinius ir ekonominius partnerius, NVO, akademikus ir tarptautines organizacijas. </w:t>
            </w:r>
          </w:p>
          <w:p w14:paraId="7EE6746E" w14:textId="77777777" w:rsidR="00A77B3E" w:rsidRPr="009201B2" w:rsidRDefault="00003C2A" w:rsidP="004A5EA0">
            <w:pPr>
              <w:spacing w:before="100"/>
              <w:jc w:val="both"/>
              <w:rPr>
                <w:color w:val="000000"/>
                <w:sz w:val="20"/>
                <w:lang w:val="lt-LT"/>
              </w:rPr>
            </w:pPr>
            <w:r w:rsidRPr="009201B2">
              <w:rPr>
                <w:color w:val="000000"/>
                <w:sz w:val="20"/>
                <w:lang w:val="lt-LT"/>
              </w:rPr>
              <w:t xml:space="preserve">Rengiant programą yra atsižvelgiama į nediskriminavimo, moterų ir vyrų lygybės, neįgaliųjų integracijos principus, lygybės prieš įstatymą, aplinkos apsaugos ir teisės į nuosavybę principus. </w:t>
            </w:r>
          </w:p>
          <w:p w14:paraId="6A0D9E5D" w14:textId="77777777" w:rsidR="00A77B3E" w:rsidRPr="009201B2" w:rsidRDefault="00003C2A" w:rsidP="004A5EA0">
            <w:pPr>
              <w:spacing w:before="100"/>
              <w:jc w:val="both"/>
              <w:rPr>
                <w:color w:val="000000"/>
                <w:sz w:val="20"/>
                <w:lang w:val="lt-LT"/>
              </w:rPr>
            </w:pPr>
            <w:r w:rsidRPr="009201B2">
              <w:rPr>
                <w:color w:val="000000"/>
                <w:sz w:val="20"/>
                <w:lang w:val="lt-LT"/>
              </w:rPr>
              <w:t xml:space="preserve">2. Diegiant VKS, aktualiuose, Programos administravimo ir finansavimo tvarką nustatančiuose dokumentuose, Vadovaujanti institucija nustatys papildomus reikalavimus visiems projektų administravime ir įgyvendinime dalyvaujantiems subjektams dėl Chartijos laikymosi, visų pirma, dėl Chartijos 8 ir 47 straipsnių. Teisės aktuose bus nustatytas papildomas horizontalus principas, privalomas visiems projektų administravime ir įgyvendinime dalyvaujantiems subjektams: „laikomasi atitinkamų Chartijos nuostatų“. </w:t>
            </w:r>
          </w:p>
          <w:p w14:paraId="2781401C" w14:textId="77777777" w:rsidR="00A77B3E" w:rsidRPr="009201B2" w:rsidRDefault="00A77B3E" w:rsidP="004A5EA0">
            <w:pPr>
              <w:spacing w:before="100"/>
              <w:jc w:val="both"/>
              <w:rPr>
                <w:color w:val="000000"/>
                <w:sz w:val="20"/>
                <w:lang w:val="lt-LT"/>
              </w:rPr>
            </w:pPr>
          </w:p>
        </w:tc>
      </w:tr>
      <w:tr w:rsidR="00535D32" w:rsidRPr="007F5D2D" w14:paraId="0B67A91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F1172"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D1656"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EA580" w14:textId="77777777" w:rsidR="00A77B3E" w:rsidRPr="009201B2" w:rsidRDefault="00003C2A" w:rsidP="004A5EA0">
            <w:pPr>
              <w:spacing w:before="100"/>
              <w:jc w:val="both"/>
              <w:rPr>
                <w:color w:val="000000"/>
                <w:sz w:val="20"/>
                <w:lang w:val="lt-LT"/>
              </w:rPr>
            </w:pPr>
            <w:r w:rsidRPr="009201B2">
              <w:rPr>
                <w:color w:val="000000"/>
                <w:sz w:val="20"/>
                <w:lang w:val="lt-LT"/>
              </w:rPr>
              <w:t>2. Pranešimo stebėsenos komitetui apie fondų remiamų operacijų neatitikimo Chartijai atvejus ir skundus dėl Chartijos, pateiktus pagal 69 straipsnio 7 dalyje nustatytą tvarką, tvarka.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00B8D"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7D0DB" w14:textId="77777777" w:rsidR="00A77B3E" w:rsidRPr="009201B2" w:rsidRDefault="00003C2A" w:rsidP="004A5EA0">
            <w:pPr>
              <w:spacing w:before="100"/>
              <w:jc w:val="both"/>
              <w:rPr>
                <w:color w:val="000000"/>
                <w:sz w:val="20"/>
                <w:lang w:val="lt-LT"/>
              </w:rPr>
            </w:pPr>
            <w:r w:rsidRPr="009201B2">
              <w:rPr>
                <w:color w:val="000000"/>
                <w:sz w:val="20"/>
                <w:lang w:val="lt-LT"/>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4109D" w14:textId="77777777" w:rsidR="00A77B3E" w:rsidRPr="009201B2" w:rsidRDefault="00003C2A" w:rsidP="004A5EA0">
            <w:pPr>
              <w:spacing w:before="100"/>
              <w:jc w:val="both"/>
              <w:rPr>
                <w:color w:val="000000"/>
                <w:sz w:val="20"/>
                <w:lang w:val="lt-LT"/>
              </w:rPr>
            </w:pPr>
            <w:r w:rsidRPr="009201B2">
              <w:rPr>
                <w:color w:val="000000"/>
                <w:sz w:val="20"/>
                <w:lang w:val="lt-LT"/>
              </w:rPr>
              <w:t xml:space="preserve">Programos skundų nagrinėjimo tvarka bus įtvirtinta Vadovaujančiosios institucijos rengiamose programos įgyvendinimą reglamentuojančiose taisyklėse, kuriose be kitų nuostatų bus numatyta, kad pareiškėjai, projektų vykdytojai ir tretieji suinteresuoti asmenys tarpinės institucijos sprendimus ar veiksmus (neveikimą) skundžia Lietuvos administracinių ginčų komisijai LR </w:t>
            </w:r>
            <w:r w:rsidRPr="009201B2">
              <w:rPr>
                <w:color w:val="000000"/>
                <w:sz w:val="20"/>
                <w:lang w:val="lt-LT"/>
              </w:rPr>
              <w:lastRenderedPageBreak/>
              <w:t>ikiteisminio administracinių ginčų nagrinėjimo tvarkos įstatymo nustatyta tvarka arba Vilniaus apygardos administraciniam teismui.  Tais atvejais, kai skundai nėra susiję su tarpinės institucijos sprendimais ar veiksmais (neveikimu) suinteresuoti asmenys skundus dėl galimų Chartijos pažeidimų teikia kitoms nacionalinėms institucijoms, priklausomai nuo to, kokios teisės galimai yra pažeistos.</w:t>
            </w:r>
          </w:p>
          <w:p w14:paraId="24EE3393" w14:textId="77777777" w:rsidR="00A77B3E" w:rsidRPr="009201B2" w:rsidRDefault="00003C2A" w:rsidP="004A5EA0">
            <w:pPr>
              <w:spacing w:before="100"/>
              <w:jc w:val="both"/>
              <w:rPr>
                <w:color w:val="000000"/>
                <w:sz w:val="20"/>
                <w:lang w:val="lt-LT"/>
              </w:rPr>
            </w:pPr>
            <w:r w:rsidRPr="009201B2">
              <w:rPr>
                <w:color w:val="000000"/>
                <w:sz w:val="20"/>
                <w:lang w:val="lt-LT"/>
              </w:rPr>
              <w:t>Teisės aktuose bus nustatyta tvarka, pagal kurią, Stebėsenos komitetui vieną kartą per metus, bus pristatyta informacija apie atvejus, kai VSF remiamais veiksmais nesilaikoma Chartijos, ir apie su Chartija susijusius atitinkamoms institucijoms pateiktus skundus.</w:t>
            </w:r>
          </w:p>
          <w:p w14:paraId="613D6564" w14:textId="77777777" w:rsidR="00A77B3E" w:rsidRPr="009201B2" w:rsidRDefault="00A77B3E" w:rsidP="004A5EA0">
            <w:pPr>
              <w:spacing w:before="100"/>
              <w:jc w:val="both"/>
              <w:rPr>
                <w:color w:val="000000"/>
                <w:sz w:val="20"/>
                <w:lang w:val="lt-LT"/>
              </w:rPr>
            </w:pPr>
          </w:p>
        </w:tc>
      </w:tr>
      <w:tr w:rsidR="00535D32" w:rsidRPr="007F5D2D" w14:paraId="03012D78"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F73B6" w14:textId="77777777" w:rsidR="00A77B3E" w:rsidRPr="009201B2" w:rsidRDefault="00003C2A" w:rsidP="004A5EA0">
            <w:pPr>
              <w:spacing w:before="100"/>
              <w:jc w:val="both"/>
              <w:rPr>
                <w:color w:val="000000"/>
                <w:sz w:val="20"/>
                <w:lang w:val="lt-LT"/>
              </w:rPr>
            </w:pPr>
            <w:r w:rsidRPr="009201B2">
              <w:rPr>
                <w:color w:val="000000"/>
                <w:sz w:val="20"/>
                <w:lang w:val="lt-LT"/>
              </w:rPr>
              <w:lastRenderedPageBreak/>
              <w:t>4. Jungtinių Tautų neįgaliųjų teisių konvencijos įgyvendinimas ir taikymas pagal Tarybos sprendimą 2010/48/EB</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6CD1C"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7634B" w14:textId="77777777" w:rsidR="00A77B3E" w:rsidRPr="009201B2" w:rsidRDefault="00003C2A" w:rsidP="004A5EA0">
            <w:pPr>
              <w:spacing w:before="100"/>
              <w:jc w:val="both"/>
              <w:rPr>
                <w:color w:val="000000"/>
                <w:sz w:val="20"/>
                <w:lang w:val="lt-LT"/>
              </w:rPr>
            </w:pPr>
            <w:r w:rsidRPr="009201B2">
              <w:rPr>
                <w:color w:val="000000"/>
                <w:sz w:val="20"/>
                <w:lang w:val="lt-LT"/>
              </w:rPr>
              <w:t xml:space="preserve">Parengta nacionalinė JT NTKPK įgyvendinimo užtikrinimo sistema, kuri apima: </w:t>
            </w:r>
          </w:p>
          <w:p w14:paraId="54B90FF5" w14:textId="77777777" w:rsidR="00A77B3E" w:rsidRPr="009201B2" w:rsidRDefault="00003C2A" w:rsidP="004A5EA0">
            <w:pPr>
              <w:spacing w:before="100"/>
              <w:jc w:val="both"/>
              <w:rPr>
                <w:color w:val="000000"/>
                <w:sz w:val="20"/>
                <w:lang w:val="lt-LT"/>
              </w:rPr>
            </w:pPr>
            <w:r w:rsidRPr="009201B2">
              <w:rPr>
                <w:color w:val="000000"/>
                <w:sz w:val="20"/>
                <w:lang w:val="lt-LT"/>
              </w:rPr>
              <w:t>1. Išmatuojamų siekinių tikslai, duomenų rinkimo ir stebėsenos mechanizmai.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6106E"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1316A" w14:textId="77777777" w:rsidR="00A77B3E" w:rsidRPr="009201B2" w:rsidRDefault="00003C2A" w:rsidP="004A5EA0">
            <w:pPr>
              <w:spacing w:before="100"/>
              <w:jc w:val="both"/>
              <w:rPr>
                <w:color w:val="000000"/>
                <w:sz w:val="20"/>
                <w:lang w:val="lt-LT"/>
              </w:rPr>
            </w:pPr>
            <w:r w:rsidRPr="009201B2">
              <w:rPr>
                <w:color w:val="000000"/>
                <w:sz w:val="20"/>
                <w:lang w:val="lt-LT"/>
              </w:rPr>
              <w:t>1. LR įstatymas dėl JT neįgaliųjų teisių konvencijos ir jos fakultatyvaus protokolo ratifikavimo: &lt;https://e-seimas.lrs.lt/&gt;</w:t>
            </w:r>
          </w:p>
          <w:p w14:paraId="0761871A" w14:textId="77777777" w:rsidR="00A77B3E" w:rsidRPr="009201B2" w:rsidRDefault="00003C2A" w:rsidP="004A5EA0">
            <w:pPr>
              <w:spacing w:before="100"/>
              <w:jc w:val="both"/>
              <w:rPr>
                <w:color w:val="000000"/>
                <w:sz w:val="20"/>
                <w:lang w:val="lt-LT"/>
              </w:rPr>
            </w:pPr>
            <w:r w:rsidRPr="009201B2">
              <w:rPr>
                <w:color w:val="000000"/>
                <w:sz w:val="20"/>
                <w:lang w:val="lt-LT"/>
              </w:rPr>
              <w:t>2. Vyriausybės nutarimas dėl JT neįgaliųjų teisių konvencijos ir jos fakultatyvaus protokolo įgyvendinimo &lt;https://e-seimas.lrs.lt/&gt;</w:t>
            </w:r>
          </w:p>
          <w:p w14:paraId="4388B0E2" w14:textId="77777777" w:rsidR="00A77B3E" w:rsidRPr="009201B2" w:rsidRDefault="00003C2A" w:rsidP="004A5EA0">
            <w:pPr>
              <w:spacing w:before="100"/>
              <w:jc w:val="both"/>
              <w:rPr>
                <w:color w:val="000000"/>
                <w:sz w:val="20"/>
                <w:lang w:val="lt-LT"/>
              </w:rPr>
            </w:pPr>
            <w:r w:rsidRPr="009201B2">
              <w:rPr>
                <w:color w:val="000000"/>
                <w:sz w:val="20"/>
                <w:lang w:val="lt-LT"/>
              </w:rPr>
              <w:t>3. Neįgalių socialinės integracijos 2021 – 2023 metų veiksmų planas &lt;https://www.e-tar.lt/&gt;</w:t>
            </w:r>
          </w:p>
          <w:p w14:paraId="6DF6B008" w14:textId="77777777" w:rsidR="00A77B3E" w:rsidRPr="009201B2" w:rsidRDefault="00003C2A" w:rsidP="004A5EA0">
            <w:pPr>
              <w:spacing w:before="100"/>
              <w:jc w:val="both"/>
              <w:rPr>
                <w:color w:val="000000"/>
                <w:sz w:val="20"/>
                <w:lang w:val="lt-LT"/>
              </w:rPr>
            </w:pPr>
            <w:r w:rsidRPr="009201B2">
              <w:rPr>
                <w:color w:val="000000"/>
                <w:sz w:val="20"/>
                <w:lang w:val="lt-LT"/>
              </w:rPr>
              <w:t xml:space="preserve">4. Strateginio valdymo metodika  </w:t>
            </w:r>
          </w:p>
          <w:p w14:paraId="2BCC0C42" w14:textId="77777777" w:rsidR="00A77B3E" w:rsidRPr="009201B2" w:rsidRDefault="00003C2A" w:rsidP="004A5EA0">
            <w:pPr>
              <w:spacing w:before="100"/>
              <w:jc w:val="both"/>
              <w:rPr>
                <w:color w:val="000000"/>
                <w:sz w:val="20"/>
                <w:lang w:val="lt-LT"/>
              </w:rPr>
            </w:pPr>
            <w:r w:rsidRPr="009201B2">
              <w:rPr>
                <w:color w:val="000000"/>
                <w:sz w:val="20"/>
                <w:lang w:val="lt-LT"/>
              </w:rPr>
              <w:t xml:space="preserve">5. LR lygių galimybių įstatymo </w:t>
            </w:r>
          </w:p>
          <w:p w14:paraId="4DFF0270" w14:textId="77777777" w:rsidR="00A77B3E" w:rsidRPr="009201B2" w:rsidRDefault="00003C2A" w:rsidP="004A5EA0">
            <w:pPr>
              <w:spacing w:before="100"/>
              <w:jc w:val="both"/>
              <w:rPr>
                <w:color w:val="000000"/>
                <w:sz w:val="20"/>
                <w:lang w:val="lt-LT"/>
              </w:rPr>
            </w:pPr>
            <w:r w:rsidRPr="009201B2">
              <w:rPr>
                <w:color w:val="000000"/>
                <w:sz w:val="20"/>
                <w:lang w:val="lt-LT"/>
              </w:rPr>
              <w:t>6. LR lygių kontrolieriaus įsakymas dėl žmonių su negalia stebėsenos komisijos prie Lygių galimybių kontrolieriaus tarnybos nuostatų patvirtinimo</w:t>
            </w:r>
          </w:p>
          <w:p w14:paraId="4B0D60F2"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D1115" w14:textId="77777777" w:rsidR="00A77B3E" w:rsidRPr="009201B2" w:rsidRDefault="00003C2A" w:rsidP="004A5EA0">
            <w:pPr>
              <w:spacing w:before="100"/>
              <w:jc w:val="both"/>
              <w:rPr>
                <w:color w:val="000000"/>
                <w:sz w:val="20"/>
                <w:lang w:val="lt-LT"/>
              </w:rPr>
            </w:pPr>
            <w:r w:rsidRPr="009201B2">
              <w:rPr>
                <w:color w:val="000000"/>
                <w:sz w:val="20"/>
                <w:lang w:val="lt-LT"/>
              </w:rPr>
              <w:t>Vyriausybė priėmė nutarimą Dėl JT neįgaliųjų teisių konvencijos ir jos fakultatyvaus protokolo įgyvendinimo. Šis nutarimas paskiria Socialinės apsaugos ir darbo ministeriją (toliau – SADM) JT NTK protokolo įgyvendinimą koordinuojančia institucija. Nutarimas taip pat paskiria už JT NTK įgyvendinimą atsakingas institucijas.</w:t>
            </w:r>
          </w:p>
          <w:p w14:paraId="3695456C" w14:textId="77777777" w:rsidR="00A77B3E" w:rsidRPr="009201B2" w:rsidRDefault="00003C2A" w:rsidP="004A5EA0">
            <w:pPr>
              <w:spacing w:before="100"/>
              <w:jc w:val="both"/>
              <w:rPr>
                <w:color w:val="000000"/>
                <w:sz w:val="20"/>
                <w:lang w:val="lt-LT"/>
              </w:rPr>
            </w:pPr>
            <w:r w:rsidRPr="009201B2">
              <w:rPr>
                <w:color w:val="000000"/>
                <w:sz w:val="20"/>
                <w:lang w:val="lt-LT"/>
              </w:rPr>
              <w:t xml:space="preserve">SADM patvirtino Neįgalių socialinės integracijos 2021 – 2023 metų veiksmų planą, kuriame nustatyti konkretūs tikslai su išmatuojamais siekiniais. Nuo 2024 m. JT NTK įgyvendinimas bus integruotas į Strateginio valdymo įstatymo ir metodikos įtvirtintus principus. Tuomet, JT NTK įgyvendinimo tikslai su išmatuojamais siekiniais bus įgyvendinami pagal plėtros programose nustatytas pažangos priemones. </w:t>
            </w:r>
          </w:p>
          <w:p w14:paraId="1794FE34" w14:textId="77777777" w:rsidR="00A77B3E" w:rsidRPr="009201B2" w:rsidRDefault="00003C2A" w:rsidP="004A5EA0">
            <w:pPr>
              <w:spacing w:before="100"/>
              <w:jc w:val="both"/>
              <w:rPr>
                <w:color w:val="000000"/>
                <w:sz w:val="20"/>
                <w:lang w:val="lt-LT"/>
              </w:rPr>
            </w:pPr>
            <w:r w:rsidRPr="009201B2">
              <w:rPr>
                <w:color w:val="000000"/>
                <w:sz w:val="20"/>
                <w:lang w:val="lt-LT"/>
              </w:rPr>
              <w:lastRenderedPageBreak/>
              <w:t>Vadovaujantis LR lygių galimybių įstatymo 15 straipsniu, JT NTK įgyvendinimo stebėseną atlieka Žmonių su negalia stebėsenos komisija (toliau – Komisija). Komisijos teisės ir pareigos yra įtvirtintos įsakyme dėl žmonių su negalia stebėsenos komisijos prie Lygių galimybių kontrolieriaus tarnybos nuostatų patvirtinimo.</w:t>
            </w:r>
          </w:p>
          <w:p w14:paraId="49E8CCAF" w14:textId="77777777" w:rsidR="00A77B3E" w:rsidRPr="009201B2" w:rsidRDefault="00A77B3E" w:rsidP="004A5EA0">
            <w:pPr>
              <w:spacing w:before="100"/>
              <w:jc w:val="both"/>
              <w:rPr>
                <w:color w:val="000000"/>
                <w:sz w:val="20"/>
                <w:lang w:val="lt-LT"/>
              </w:rPr>
            </w:pPr>
          </w:p>
        </w:tc>
      </w:tr>
      <w:tr w:rsidR="00535D32" w:rsidRPr="007F5D2D" w14:paraId="0D039B5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A0A8A"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347F2"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BEA68" w14:textId="77777777" w:rsidR="00A77B3E" w:rsidRPr="009201B2" w:rsidRDefault="00003C2A" w:rsidP="004A5EA0">
            <w:pPr>
              <w:spacing w:before="100"/>
              <w:jc w:val="both"/>
              <w:rPr>
                <w:color w:val="000000"/>
                <w:sz w:val="20"/>
                <w:lang w:val="lt-LT"/>
              </w:rPr>
            </w:pPr>
            <w:r w:rsidRPr="009201B2">
              <w:rPr>
                <w:color w:val="000000"/>
                <w:sz w:val="20"/>
                <w:lang w:val="lt-LT"/>
              </w:rPr>
              <w:t>2. Tvarka, kuria užtikrinama, kad prieinamumo politika, teisės aktai ir standartai yra tinkamai atspindėti rengiant ir įgyvendinant programas.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C42F0"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0E302" w14:textId="77777777" w:rsidR="00A77B3E" w:rsidRPr="009201B2" w:rsidRDefault="00003C2A" w:rsidP="004A5EA0">
            <w:pPr>
              <w:spacing w:before="100"/>
              <w:jc w:val="both"/>
              <w:rPr>
                <w:color w:val="000000"/>
                <w:sz w:val="20"/>
                <w:lang w:val="lt-LT"/>
              </w:rPr>
            </w:pPr>
            <w:r w:rsidRPr="009201B2">
              <w:rPr>
                <w:color w:val="000000"/>
                <w:sz w:val="20"/>
                <w:lang w:val="lt-LT"/>
              </w:rPr>
              <w:t>1.1. Programos derinimas su partneriais:</w:t>
            </w:r>
          </w:p>
          <w:p w14:paraId="7BF173E7" w14:textId="77777777" w:rsidR="00A77B3E" w:rsidRPr="009201B2" w:rsidRDefault="00003C2A" w:rsidP="004A5EA0">
            <w:pPr>
              <w:spacing w:before="100"/>
              <w:jc w:val="both"/>
              <w:rPr>
                <w:color w:val="000000"/>
                <w:sz w:val="20"/>
                <w:lang w:val="lt-LT"/>
              </w:rPr>
            </w:pPr>
            <w:r w:rsidRPr="009201B2">
              <w:rPr>
                <w:color w:val="000000"/>
                <w:sz w:val="20"/>
                <w:lang w:val="lt-LT"/>
              </w:rPr>
              <w:t>https://www.pmif.lt/pmif-21-27-m/pmif-programos-derinimas</w:t>
            </w:r>
          </w:p>
          <w:p w14:paraId="78F85D40" w14:textId="77777777" w:rsidR="00A77B3E" w:rsidRPr="009201B2" w:rsidRDefault="00003C2A" w:rsidP="004A5EA0">
            <w:pPr>
              <w:spacing w:before="100"/>
              <w:jc w:val="both"/>
              <w:rPr>
                <w:color w:val="000000"/>
                <w:sz w:val="20"/>
                <w:lang w:val="lt-LT"/>
              </w:rPr>
            </w:pPr>
            <w:r w:rsidRPr="009201B2">
              <w:rPr>
                <w:color w:val="000000"/>
                <w:sz w:val="20"/>
                <w:lang w:val="lt-LT"/>
              </w:rPr>
              <w:t>2.1. Nacionalinis pažangos planas, III skyrius: https://lrv.lt/lt/aktuali-informacija/xvii-vyriausybe/strateginis-valdymas/2021-2030-m-nacionalinis-pazangos-planas</w:t>
            </w:r>
          </w:p>
          <w:p w14:paraId="6B1E55A9" w14:textId="77777777" w:rsidR="00A77B3E" w:rsidRPr="009201B2" w:rsidRDefault="00003C2A" w:rsidP="004A5EA0">
            <w:pPr>
              <w:spacing w:before="100"/>
              <w:jc w:val="both"/>
              <w:rPr>
                <w:color w:val="000000"/>
                <w:sz w:val="20"/>
                <w:lang w:val="lt-LT"/>
              </w:rPr>
            </w:pPr>
            <w:r w:rsidRPr="009201B2">
              <w:rPr>
                <w:color w:val="000000"/>
                <w:sz w:val="20"/>
                <w:lang w:val="lt-LT"/>
              </w:rPr>
              <w:t>2.2. Strateginio valdymo įstatymas</w:t>
            </w:r>
          </w:p>
          <w:p w14:paraId="05C92684" w14:textId="77777777" w:rsidR="00A77B3E" w:rsidRPr="009201B2" w:rsidRDefault="00003C2A" w:rsidP="004A5EA0">
            <w:pPr>
              <w:spacing w:before="100"/>
              <w:jc w:val="both"/>
              <w:rPr>
                <w:color w:val="000000"/>
                <w:sz w:val="20"/>
                <w:lang w:val="lt-LT"/>
              </w:rPr>
            </w:pPr>
            <w:r w:rsidRPr="009201B2">
              <w:rPr>
                <w:color w:val="000000"/>
                <w:sz w:val="20"/>
                <w:lang w:val="lt-LT"/>
              </w:rPr>
              <w:t>2.3. Strateginio valdymo metodika</w:t>
            </w:r>
          </w:p>
          <w:p w14:paraId="10D73BA5" w14:textId="77777777" w:rsidR="00A77B3E" w:rsidRPr="009201B2" w:rsidRDefault="00003C2A" w:rsidP="004A5EA0">
            <w:pPr>
              <w:spacing w:before="100"/>
              <w:jc w:val="both"/>
              <w:rPr>
                <w:color w:val="000000"/>
                <w:sz w:val="20"/>
                <w:lang w:val="lt-LT"/>
              </w:rPr>
            </w:pPr>
            <w:r w:rsidRPr="009201B2">
              <w:rPr>
                <w:color w:val="000000"/>
                <w:sz w:val="20"/>
                <w:lang w:val="lt-LT"/>
              </w:rPr>
              <w:t>3.1 &lt;https://eur-lex.europa.eu/legal-content/EN/TXT/PDF/?uri=CELEX:32014R0240&amp;from=EN&gt;;</w:t>
            </w:r>
          </w:p>
          <w:p w14:paraId="2C17EA6E" w14:textId="77777777" w:rsidR="00A77B3E" w:rsidRPr="009201B2" w:rsidRDefault="00003C2A" w:rsidP="004A5EA0">
            <w:pPr>
              <w:spacing w:before="100"/>
              <w:jc w:val="both"/>
              <w:rPr>
                <w:color w:val="000000"/>
                <w:sz w:val="20"/>
                <w:lang w:val="lt-LT"/>
              </w:rPr>
            </w:pPr>
            <w:r w:rsidRPr="009201B2">
              <w:rPr>
                <w:color w:val="000000"/>
                <w:sz w:val="20"/>
                <w:lang w:val="lt-LT"/>
              </w:rPr>
              <w:t>3.2 &lt;https://epilietis.lrv.lt/uploads/epilietis/documents/files/A_LRV_visas_el_leidinys_WEB.pdf&gt;</w:t>
            </w:r>
          </w:p>
          <w:p w14:paraId="2C894E5C" w14:textId="77777777" w:rsidR="00A77B3E" w:rsidRPr="009201B2" w:rsidRDefault="00A77B3E" w:rsidP="004A5EA0">
            <w:pPr>
              <w:spacing w:before="100"/>
              <w:jc w:val="both"/>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FF571" w14:textId="77777777" w:rsidR="00A77B3E" w:rsidRPr="009201B2" w:rsidRDefault="00003C2A" w:rsidP="004A5EA0">
            <w:pPr>
              <w:spacing w:before="100"/>
              <w:jc w:val="both"/>
              <w:rPr>
                <w:color w:val="000000"/>
                <w:sz w:val="20"/>
                <w:lang w:val="lt-LT"/>
              </w:rPr>
            </w:pPr>
            <w:r w:rsidRPr="009201B2">
              <w:rPr>
                <w:color w:val="000000"/>
                <w:sz w:val="20"/>
                <w:lang w:val="lt-LT"/>
              </w:rPr>
              <w:t>Rengiant Programą, institucijos, prieinamumo politiką ir standartus tinkamai atspindėjo įtraukiant įvairių sričių socialinius ir ekonominius partnerius, nevyriausybines organizacijas, akademikus ir tarptautines organizacijas.</w:t>
            </w:r>
          </w:p>
          <w:p w14:paraId="6FC7B79B" w14:textId="77777777" w:rsidR="00A77B3E" w:rsidRPr="009201B2" w:rsidRDefault="00003C2A" w:rsidP="004A5EA0">
            <w:pPr>
              <w:spacing w:before="100"/>
              <w:jc w:val="both"/>
              <w:rPr>
                <w:color w:val="000000"/>
                <w:sz w:val="20"/>
                <w:lang w:val="lt-LT"/>
              </w:rPr>
            </w:pPr>
            <w:r w:rsidRPr="009201B2">
              <w:rPr>
                <w:color w:val="000000"/>
                <w:sz w:val="20"/>
                <w:lang w:val="lt-LT"/>
              </w:rPr>
              <w:t xml:space="preserve">Lygios galimybės visiems – horizontalus principas (HP), nustatytas Nacionaliniame pažangos plane. Tai reiškia, jog visos valstybės mastu planuojamos investicijos, tame tarpe ir ES fondais remiami veiksmai, negali turėti lygių galimybių principo neigiamo poveikio ir turi siekti jo aktyvaus taikymo. Plėtros programose, projektų finansavimo sąlygose, kvietimuose teikti projektus, būtų priemonės ir reikalavimai dėl HP taikymo (atrankos kriterijai, kt.). </w:t>
            </w:r>
          </w:p>
          <w:p w14:paraId="5BDBA10E" w14:textId="77777777" w:rsidR="00A77B3E" w:rsidRPr="009201B2" w:rsidRDefault="00003C2A" w:rsidP="004A5EA0">
            <w:pPr>
              <w:spacing w:before="100"/>
              <w:jc w:val="both"/>
              <w:rPr>
                <w:color w:val="000000"/>
                <w:sz w:val="20"/>
                <w:lang w:val="lt-LT"/>
              </w:rPr>
            </w:pPr>
            <w:r w:rsidRPr="009201B2">
              <w:rPr>
                <w:color w:val="000000"/>
                <w:sz w:val="20"/>
                <w:lang w:val="lt-LT"/>
              </w:rPr>
              <w:t>Diegiant valdymo ir kontrolės sistemą, aktualiuose Programos administravimo ir finansavimo tvarką nustatančiuose dokumentuose, Vadovaujanti institucija, konsultuojantis su Socialinės apsaugos ir darbo ministerijos lygių galimybių, moterų ir vyrų lygybės grupe.</w:t>
            </w:r>
          </w:p>
          <w:p w14:paraId="13BE77B8" w14:textId="77777777" w:rsidR="00A77B3E" w:rsidRPr="009201B2" w:rsidRDefault="00A77B3E" w:rsidP="004A5EA0">
            <w:pPr>
              <w:spacing w:before="100"/>
              <w:jc w:val="both"/>
              <w:rPr>
                <w:color w:val="000000"/>
                <w:sz w:val="20"/>
                <w:lang w:val="lt-LT"/>
              </w:rPr>
            </w:pPr>
          </w:p>
        </w:tc>
      </w:tr>
      <w:tr w:rsidR="00535D32" w:rsidRPr="007F5D2D" w14:paraId="069152B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A6B95" w14:textId="77777777" w:rsidR="00A77B3E" w:rsidRPr="009201B2" w:rsidRDefault="00A77B3E">
            <w:pPr>
              <w:spacing w:before="100"/>
              <w:rPr>
                <w:color w:val="000000"/>
                <w:sz w:val="20"/>
                <w:lang w:val="lt-LT"/>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E2851" w14:textId="77777777" w:rsidR="00A77B3E" w:rsidRPr="009201B2" w:rsidRDefault="00A77B3E">
            <w:pPr>
              <w:spacing w:before="100"/>
              <w:rPr>
                <w:color w:val="000000"/>
                <w:sz w:val="20"/>
                <w:lang w:val="lt-LT"/>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D8890" w14:textId="77777777" w:rsidR="00A77B3E" w:rsidRPr="009201B2" w:rsidRDefault="00003C2A" w:rsidP="004A5EA0">
            <w:pPr>
              <w:spacing w:before="100"/>
              <w:jc w:val="both"/>
              <w:rPr>
                <w:color w:val="000000"/>
                <w:sz w:val="20"/>
                <w:lang w:val="lt-LT"/>
              </w:rPr>
            </w:pPr>
            <w:r w:rsidRPr="009201B2">
              <w:rPr>
                <w:color w:val="000000"/>
                <w:sz w:val="20"/>
                <w:lang w:val="lt-LT"/>
              </w:rPr>
              <w:t xml:space="preserve">3. Pranešimo stebėsenos komitetui apie fondų remiamų operacijų neatitikimo JT NTKPK atvejus ir skundus dėl JT NTKPK, pateiktus pagal 69 straipsnio 7 dalyje </w:t>
            </w:r>
            <w:r w:rsidR="00EB7BB2" w:rsidRPr="009201B2">
              <w:rPr>
                <w:color w:val="000000"/>
                <w:sz w:val="20"/>
                <w:lang w:val="lt-LT"/>
              </w:rPr>
              <w:t xml:space="preserve"> </w:t>
            </w:r>
            <w:r w:rsidRPr="009201B2">
              <w:rPr>
                <w:color w:val="000000"/>
                <w:sz w:val="20"/>
                <w:lang w:val="lt-LT"/>
              </w:rPr>
              <w:t>nustatytą tvarką, tvarka.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CCDB0"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9674" w14:textId="77777777" w:rsidR="00A77B3E" w:rsidRPr="009201B2" w:rsidRDefault="00003C2A" w:rsidP="004A5EA0">
            <w:pPr>
              <w:spacing w:before="100"/>
              <w:jc w:val="both"/>
              <w:rPr>
                <w:color w:val="000000"/>
                <w:sz w:val="20"/>
                <w:lang w:val="lt-LT"/>
              </w:rPr>
            </w:pPr>
            <w:r w:rsidRPr="009201B2">
              <w:rPr>
                <w:color w:val="000000"/>
                <w:sz w:val="20"/>
                <w:lang w:val="lt-LT"/>
              </w:rPr>
              <w:t>Bus numatyta naujo laikotarpio Stebėsenos komiteto darbo reglamento nuostatose.</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7BEDA" w14:textId="77777777" w:rsidR="00A77B3E" w:rsidRPr="009201B2" w:rsidRDefault="00003C2A" w:rsidP="004A5EA0">
            <w:pPr>
              <w:spacing w:before="100"/>
              <w:jc w:val="both"/>
              <w:rPr>
                <w:color w:val="000000"/>
                <w:sz w:val="20"/>
                <w:lang w:val="lt-LT"/>
              </w:rPr>
            </w:pPr>
            <w:r w:rsidRPr="009201B2">
              <w:rPr>
                <w:color w:val="000000"/>
                <w:sz w:val="20"/>
                <w:lang w:val="lt-LT"/>
              </w:rPr>
              <w:t>Programos skundų nagrinėjimo tvarka bus įtvirtinta Vadovaujančiosios institucijos rengiamose programos įgyvendinimą reglamentuojančiose taisyklėse, kuriose be kitų nuostatų bus numatyta, kad pareiškėjai, projektų vykdytojai ir tretieji suinteresuoti asmenys tarpinės institucijos sprendimus ar veiksmus (neveikimą) skundžia Lietuvos administracinių ginčų komisijai LR ikiteisminio administracinių ginčų nagrinėjimo tvarkos įstatymo nustatyta tvarka arba Vilniaus apygardos administraciniam teismui.  Tais atvejais, kai skundai nėra susiję su tarpinės institucijos sprendimais ar veiksmais (neveikimu) suinteresuoti asmenys skundus dėl galimų JT NTK pažeidimų teikia Lygių galimybių kontrolieriaus tarnybai, kuri nagrinėja skundus, susijusius su patiriama diskriminacija.</w:t>
            </w:r>
          </w:p>
          <w:p w14:paraId="09617B74" w14:textId="77777777" w:rsidR="00A77B3E" w:rsidRPr="009201B2" w:rsidRDefault="00003C2A" w:rsidP="004A5EA0">
            <w:pPr>
              <w:spacing w:before="100"/>
              <w:jc w:val="both"/>
              <w:rPr>
                <w:color w:val="000000"/>
                <w:sz w:val="20"/>
                <w:lang w:val="lt-LT"/>
              </w:rPr>
            </w:pPr>
            <w:r w:rsidRPr="009201B2">
              <w:rPr>
                <w:color w:val="000000"/>
                <w:sz w:val="20"/>
                <w:lang w:val="lt-LT"/>
              </w:rPr>
              <w:t>Teisės aktuose bus nustatyta tvarka, pagal kurią Stebėsenos komitetui vieną kartą per metus bus pristatyta informacija apie atvejus, kai VSF remiamais veiksmais nesilaikoma JT NTK, ir apie su JT NTK susijusius skundus, pateiktus atitinkamoms institucijoms.</w:t>
            </w:r>
          </w:p>
          <w:p w14:paraId="7BC9C4D6" w14:textId="77777777" w:rsidR="00A77B3E" w:rsidRPr="009201B2" w:rsidRDefault="00A77B3E" w:rsidP="004A5EA0">
            <w:pPr>
              <w:spacing w:before="100"/>
              <w:jc w:val="both"/>
              <w:rPr>
                <w:color w:val="000000"/>
                <w:sz w:val="20"/>
                <w:lang w:val="lt-LT"/>
              </w:rPr>
            </w:pPr>
          </w:p>
        </w:tc>
      </w:tr>
    </w:tbl>
    <w:p w14:paraId="101DD0AE" w14:textId="77777777" w:rsidR="00A77B3E" w:rsidRPr="009201B2" w:rsidRDefault="00003C2A">
      <w:pPr>
        <w:pStyle w:val="Antrat1"/>
        <w:spacing w:before="100" w:after="0"/>
        <w:rPr>
          <w:rFonts w:ascii="Times New Roman" w:hAnsi="Times New Roman" w:cs="Times New Roman"/>
          <w:b w:val="0"/>
          <w:color w:val="000000"/>
          <w:sz w:val="24"/>
          <w:lang w:val="lt-LT"/>
        </w:rPr>
      </w:pPr>
      <w:r w:rsidRPr="009201B2">
        <w:rPr>
          <w:rFonts w:ascii="Times New Roman" w:hAnsi="Times New Roman" w:cs="Times New Roman"/>
          <w:b w:val="0"/>
          <w:color w:val="000000"/>
          <w:sz w:val="20"/>
          <w:lang w:val="lt-LT"/>
        </w:rPr>
        <w:br w:type="page"/>
      </w:r>
      <w:bookmarkStart w:id="38" w:name="_Toc256000094"/>
      <w:r w:rsidRPr="009201B2">
        <w:rPr>
          <w:rFonts w:ascii="Times New Roman" w:hAnsi="Times New Roman" w:cs="Times New Roman"/>
          <w:b w:val="0"/>
          <w:color w:val="000000"/>
          <w:sz w:val="24"/>
          <w:lang w:val="lt-LT"/>
        </w:rPr>
        <w:lastRenderedPageBreak/>
        <w:t>5. Programos institucijos</w:t>
      </w:r>
      <w:bookmarkEnd w:id="38"/>
    </w:p>
    <w:p w14:paraId="62DB532A" w14:textId="77777777" w:rsidR="00A77B3E" w:rsidRPr="009201B2" w:rsidRDefault="00003C2A">
      <w:pPr>
        <w:spacing w:before="100"/>
        <w:rPr>
          <w:color w:val="000000"/>
          <w:lang w:val="lt-LT"/>
        </w:rPr>
      </w:pPr>
      <w:r w:rsidRPr="009201B2">
        <w:rPr>
          <w:color w:val="000000"/>
          <w:lang w:val="lt-LT"/>
        </w:rPr>
        <w:t>Nuoroda: BNR 22 straipsnio 3 dalies k punktas, 71 ir 84 straipsniai.</w:t>
      </w:r>
    </w:p>
    <w:p w14:paraId="131255B1" w14:textId="11667B7B" w:rsidR="00A77B3E" w:rsidRPr="009201B2" w:rsidRDefault="00003C2A">
      <w:pPr>
        <w:pStyle w:val="Antrat2"/>
        <w:spacing w:before="100" w:after="0"/>
        <w:rPr>
          <w:rFonts w:ascii="Times New Roman" w:hAnsi="Times New Roman" w:cs="Times New Roman"/>
          <w:b w:val="0"/>
          <w:i w:val="0"/>
          <w:color w:val="000000"/>
          <w:sz w:val="24"/>
          <w:lang w:val="lt-LT"/>
        </w:rPr>
      </w:pPr>
      <w:bookmarkStart w:id="39" w:name="_Toc256000095"/>
      <w:r w:rsidRPr="009201B2">
        <w:rPr>
          <w:rFonts w:ascii="Times New Roman" w:hAnsi="Times New Roman" w:cs="Times New Roman"/>
          <w:b w:val="0"/>
          <w:i w:val="0"/>
          <w:color w:val="000000"/>
          <w:sz w:val="24"/>
          <w:lang w:val="lt-LT"/>
        </w:rPr>
        <w:t>10 lentelė. Programos institucijos</w:t>
      </w:r>
      <w:bookmarkEnd w:id="39"/>
      <w:r w:rsidR="00EB7BB2" w:rsidRPr="009201B2">
        <w:rPr>
          <w:rFonts w:ascii="Times New Roman" w:hAnsi="Times New Roman" w:cs="Times New Roman"/>
          <w:b w:val="0"/>
          <w:i w:val="0"/>
          <w:color w:val="000000"/>
          <w:sz w:val="24"/>
          <w:lang w:val="lt-LT"/>
        </w:rPr>
        <w:t xml:space="preserve"> </w:t>
      </w:r>
    </w:p>
    <w:p w14:paraId="416E1C33" w14:textId="77777777" w:rsidR="00A77B3E" w:rsidRPr="009201B2" w:rsidRDefault="00A77B3E">
      <w:pPr>
        <w:spacing w:before="100"/>
        <w:rPr>
          <w:color w:val="000000"/>
          <w:sz w:val="0"/>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83"/>
        <w:gridCol w:w="1823"/>
        <w:gridCol w:w="4329"/>
        <w:gridCol w:w="2148"/>
      </w:tblGrid>
      <w:tr w:rsidR="00535D32" w:rsidRPr="009201B2" w14:paraId="2542989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CB382" w14:textId="77777777" w:rsidR="00A77B3E" w:rsidRPr="009201B2" w:rsidRDefault="00003C2A">
            <w:pPr>
              <w:spacing w:before="100"/>
              <w:jc w:val="center"/>
              <w:rPr>
                <w:color w:val="000000"/>
                <w:sz w:val="20"/>
                <w:lang w:val="lt-LT"/>
              </w:rPr>
            </w:pPr>
            <w:r w:rsidRPr="009201B2">
              <w:rPr>
                <w:color w:val="000000"/>
                <w:sz w:val="20"/>
                <w:lang w:val="lt-LT"/>
              </w:rPr>
              <w:t>Programos institucija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BF5A0C" w14:textId="77777777" w:rsidR="00A77B3E" w:rsidRPr="009201B2" w:rsidRDefault="00003C2A">
            <w:pPr>
              <w:spacing w:before="100"/>
              <w:jc w:val="center"/>
              <w:rPr>
                <w:color w:val="000000"/>
                <w:sz w:val="20"/>
                <w:lang w:val="lt-LT"/>
              </w:rPr>
            </w:pPr>
            <w:r w:rsidRPr="009201B2">
              <w:rPr>
                <w:color w:val="000000"/>
                <w:sz w:val="20"/>
                <w:lang w:val="lt-LT"/>
              </w:rPr>
              <w:t>Įstaigos pavadinimas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EE2D57" w14:textId="77777777" w:rsidR="00A77B3E" w:rsidRPr="009201B2" w:rsidRDefault="00003C2A">
            <w:pPr>
              <w:spacing w:before="100"/>
              <w:jc w:val="center"/>
              <w:rPr>
                <w:color w:val="000000"/>
                <w:sz w:val="20"/>
                <w:lang w:val="lt-LT"/>
              </w:rPr>
            </w:pPr>
            <w:r w:rsidRPr="009201B2">
              <w:rPr>
                <w:color w:val="000000"/>
                <w:sz w:val="20"/>
                <w:lang w:val="lt-LT"/>
              </w:rPr>
              <w:t>Kontaktinis asmuo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E382D" w14:textId="77777777" w:rsidR="00A77B3E" w:rsidRPr="009201B2" w:rsidRDefault="00003C2A">
            <w:pPr>
              <w:spacing w:before="100"/>
              <w:jc w:val="center"/>
              <w:rPr>
                <w:color w:val="000000"/>
                <w:sz w:val="20"/>
                <w:lang w:val="lt-LT"/>
              </w:rPr>
            </w:pPr>
            <w:r w:rsidRPr="009201B2">
              <w:rPr>
                <w:color w:val="000000"/>
                <w:sz w:val="20"/>
                <w:lang w:val="lt-LT"/>
              </w:rPr>
              <w:t>Padėtis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CDDA75" w14:textId="77777777" w:rsidR="00A77B3E" w:rsidRPr="009201B2" w:rsidRDefault="00003C2A">
            <w:pPr>
              <w:spacing w:before="100"/>
              <w:jc w:val="center"/>
              <w:rPr>
                <w:color w:val="000000"/>
                <w:sz w:val="20"/>
                <w:lang w:val="lt-LT"/>
              </w:rPr>
            </w:pPr>
            <w:r w:rsidRPr="009201B2">
              <w:rPr>
                <w:color w:val="000000"/>
                <w:sz w:val="20"/>
                <w:lang w:val="lt-LT"/>
              </w:rPr>
              <w:t>E. paštas</w:t>
            </w:r>
          </w:p>
        </w:tc>
      </w:tr>
      <w:tr w:rsidR="00535D32" w:rsidRPr="009201B2" w14:paraId="0131CD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59E46" w14:textId="77777777" w:rsidR="00A77B3E" w:rsidRPr="009201B2" w:rsidRDefault="00003C2A">
            <w:pPr>
              <w:spacing w:before="100"/>
              <w:rPr>
                <w:color w:val="000000"/>
                <w:sz w:val="20"/>
                <w:lang w:val="lt-LT"/>
              </w:rPr>
            </w:pPr>
            <w:r w:rsidRPr="009201B2">
              <w:rPr>
                <w:color w:val="000000"/>
                <w:sz w:val="20"/>
                <w:lang w:val="lt-LT"/>
              </w:rPr>
              <w:t>Vadovaujančioji institucija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591BD" w14:textId="77777777" w:rsidR="00A77B3E" w:rsidRPr="009201B2" w:rsidRDefault="00003C2A">
            <w:pPr>
              <w:spacing w:before="100"/>
              <w:rPr>
                <w:color w:val="000000"/>
                <w:sz w:val="20"/>
                <w:lang w:val="lt-LT"/>
              </w:rPr>
            </w:pPr>
            <w:r w:rsidRPr="009201B2">
              <w:rPr>
                <w:color w:val="000000"/>
                <w:sz w:val="20"/>
                <w:lang w:val="lt-LT"/>
              </w:rPr>
              <w:t>Ministry of the Interior of the Republic of Lithuania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4BCE1" w14:textId="77777777" w:rsidR="00A77B3E" w:rsidRPr="009201B2" w:rsidRDefault="00003C2A">
            <w:pPr>
              <w:spacing w:before="100"/>
              <w:rPr>
                <w:color w:val="000000"/>
                <w:sz w:val="20"/>
                <w:lang w:val="lt-LT"/>
              </w:rPr>
            </w:pPr>
            <w:r w:rsidRPr="009201B2">
              <w:rPr>
                <w:color w:val="000000"/>
                <w:sz w:val="20"/>
                <w:lang w:val="lt-LT"/>
              </w:rPr>
              <w:t>Arnoldas Abramavičius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EC693" w14:textId="77777777" w:rsidR="00A77B3E" w:rsidRPr="009201B2" w:rsidRDefault="00003C2A">
            <w:pPr>
              <w:spacing w:before="100"/>
              <w:rPr>
                <w:color w:val="000000"/>
                <w:sz w:val="20"/>
                <w:lang w:val="lt-LT"/>
              </w:rPr>
            </w:pPr>
            <w:r w:rsidRPr="009201B2">
              <w:rPr>
                <w:color w:val="000000"/>
                <w:sz w:val="20"/>
                <w:lang w:val="lt-LT"/>
              </w:rPr>
              <w:t xml:space="preserve">Vice-minister of MoI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4D025" w14:textId="77777777" w:rsidR="00A77B3E" w:rsidRPr="009201B2" w:rsidRDefault="00003C2A">
            <w:pPr>
              <w:spacing w:before="100"/>
              <w:rPr>
                <w:color w:val="000000"/>
                <w:sz w:val="20"/>
                <w:lang w:val="lt-LT"/>
              </w:rPr>
            </w:pPr>
            <w:r w:rsidRPr="009201B2">
              <w:rPr>
                <w:color w:val="000000"/>
                <w:sz w:val="20"/>
                <w:lang w:val="lt-LT"/>
              </w:rPr>
              <w:t>bendrasis@vrm.lt</w:t>
            </w:r>
          </w:p>
        </w:tc>
      </w:tr>
      <w:tr w:rsidR="00535D32" w:rsidRPr="009201B2" w14:paraId="556DA9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B013D" w14:textId="77777777" w:rsidR="00A77B3E" w:rsidRPr="009201B2" w:rsidRDefault="00003C2A">
            <w:pPr>
              <w:spacing w:before="100"/>
              <w:rPr>
                <w:color w:val="000000"/>
                <w:sz w:val="20"/>
                <w:lang w:val="lt-LT"/>
              </w:rPr>
            </w:pPr>
            <w:r w:rsidRPr="009201B2">
              <w:rPr>
                <w:color w:val="000000"/>
                <w:sz w:val="20"/>
                <w:lang w:val="lt-LT"/>
              </w:rPr>
              <w:t>Audito institucija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B7A3F" w14:textId="77777777" w:rsidR="00A77B3E" w:rsidRPr="009201B2" w:rsidRDefault="00003C2A">
            <w:pPr>
              <w:spacing w:before="100"/>
              <w:rPr>
                <w:color w:val="000000"/>
                <w:sz w:val="20"/>
                <w:lang w:val="lt-LT"/>
              </w:rPr>
            </w:pPr>
            <w:r w:rsidRPr="009201B2">
              <w:rPr>
                <w:color w:val="000000"/>
                <w:sz w:val="20"/>
                <w:lang w:val="lt-LT"/>
              </w:rPr>
              <w:t>Centralized Internal Audit Division of the Ministry of the MoI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D9649" w14:textId="77777777" w:rsidR="00A77B3E" w:rsidRPr="009201B2" w:rsidRDefault="00003C2A">
            <w:pPr>
              <w:spacing w:before="100"/>
              <w:rPr>
                <w:color w:val="000000"/>
                <w:sz w:val="20"/>
                <w:lang w:val="lt-LT"/>
              </w:rPr>
            </w:pPr>
            <w:r w:rsidRPr="009201B2">
              <w:rPr>
                <w:color w:val="000000"/>
                <w:sz w:val="20"/>
                <w:lang w:val="lt-LT"/>
              </w:rPr>
              <w:t>Rasa Rybakovienė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B285E" w14:textId="77777777" w:rsidR="00A77B3E" w:rsidRPr="009201B2" w:rsidRDefault="00003C2A">
            <w:pPr>
              <w:spacing w:before="100"/>
              <w:rPr>
                <w:color w:val="000000"/>
                <w:sz w:val="20"/>
                <w:lang w:val="lt-LT"/>
              </w:rPr>
            </w:pPr>
            <w:r w:rsidRPr="009201B2">
              <w:rPr>
                <w:color w:val="000000"/>
                <w:sz w:val="20"/>
                <w:lang w:val="lt-LT"/>
              </w:rPr>
              <w:t xml:space="preserve">Head of the Centralised Internal Audit Division of MoI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85A50" w14:textId="77777777" w:rsidR="00A77B3E" w:rsidRPr="009201B2" w:rsidRDefault="00003C2A">
            <w:pPr>
              <w:spacing w:before="100"/>
              <w:rPr>
                <w:color w:val="000000"/>
                <w:sz w:val="20"/>
                <w:lang w:val="lt-LT"/>
              </w:rPr>
            </w:pPr>
            <w:r w:rsidRPr="009201B2">
              <w:rPr>
                <w:color w:val="000000"/>
                <w:sz w:val="20"/>
                <w:lang w:val="lt-LT"/>
              </w:rPr>
              <w:t>rasa.rybakoviene@vrm.lt</w:t>
            </w:r>
          </w:p>
        </w:tc>
      </w:tr>
      <w:tr w:rsidR="00535D32" w:rsidRPr="009201B2" w14:paraId="47599A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7BED0" w14:textId="77777777" w:rsidR="00A77B3E" w:rsidRPr="009201B2" w:rsidRDefault="00003C2A">
            <w:pPr>
              <w:spacing w:before="100"/>
              <w:rPr>
                <w:color w:val="000000"/>
                <w:sz w:val="20"/>
                <w:lang w:val="lt-LT"/>
              </w:rPr>
            </w:pPr>
            <w:r w:rsidRPr="009201B2">
              <w:rPr>
                <w:color w:val="000000"/>
                <w:sz w:val="20"/>
                <w:lang w:val="lt-LT"/>
              </w:rPr>
              <w:t>Komisijos išmokas gaunantis subjektas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02B40" w14:textId="77777777" w:rsidR="00A77B3E" w:rsidRPr="009201B2" w:rsidRDefault="00003C2A">
            <w:pPr>
              <w:spacing w:before="100"/>
              <w:rPr>
                <w:color w:val="000000"/>
                <w:sz w:val="20"/>
                <w:lang w:val="lt-LT"/>
              </w:rPr>
            </w:pPr>
            <w:r w:rsidRPr="009201B2">
              <w:rPr>
                <w:color w:val="000000"/>
                <w:sz w:val="20"/>
                <w:lang w:val="lt-LT"/>
              </w:rPr>
              <w:t>Ministry of Finance of the Republic of Lithuania (MoF)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7E920" w14:textId="77777777" w:rsidR="00A77B3E" w:rsidRPr="009201B2" w:rsidRDefault="00003C2A">
            <w:pPr>
              <w:spacing w:before="100"/>
              <w:rPr>
                <w:color w:val="000000"/>
                <w:sz w:val="20"/>
                <w:lang w:val="lt-LT"/>
              </w:rPr>
            </w:pPr>
            <w:r w:rsidRPr="009201B2">
              <w:rPr>
                <w:color w:val="000000"/>
                <w:sz w:val="20"/>
                <w:lang w:val="lt-LT"/>
              </w:rPr>
              <w:t>Rasa Kavolytė</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75748" w14:textId="77777777" w:rsidR="00A77B3E" w:rsidRPr="009201B2" w:rsidRDefault="00003C2A">
            <w:pPr>
              <w:spacing w:before="100"/>
              <w:rPr>
                <w:color w:val="000000"/>
                <w:sz w:val="20"/>
                <w:lang w:val="lt-LT"/>
              </w:rPr>
            </w:pPr>
            <w:r w:rsidRPr="009201B2">
              <w:rPr>
                <w:color w:val="000000"/>
                <w:sz w:val="20"/>
                <w:lang w:val="lt-LT"/>
              </w:rPr>
              <w:t xml:space="preserve">Senior adviser of the Department of Finance and Treasure of  MoF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12CA" w14:textId="77777777" w:rsidR="00A77B3E" w:rsidRPr="009201B2" w:rsidRDefault="00003C2A">
            <w:pPr>
              <w:spacing w:before="100"/>
              <w:rPr>
                <w:color w:val="000000"/>
                <w:sz w:val="20"/>
                <w:lang w:val="lt-LT"/>
              </w:rPr>
            </w:pPr>
            <w:r w:rsidRPr="009201B2">
              <w:rPr>
                <w:color w:val="000000"/>
                <w:sz w:val="20"/>
                <w:lang w:val="lt-LT"/>
              </w:rPr>
              <w:t>rasa.kavolyte@finmin.lt</w:t>
            </w:r>
          </w:p>
        </w:tc>
      </w:tr>
    </w:tbl>
    <w:p w14:paraId="538D3A99" w14:textId="77777777" w:rsidR="00A77B3E" w:rsidRPr="009201B2" w:rsidRDefault="00A77B3E">
      <w:pPr>
        <w:spacing w:before="100"/>
        <w:jc w:val="center"/>
        <w:rPr>
          <w:color w:val="000000"/>
          <w:sz w:val="20"/>
          <w:lang w:val="lt-LT"/>
        </w:rPr>
        <w:sectPr w:rsidR="00A77B3E" w:rsidRPr="009201B2">
          <w:headerReference w:type="even" r:id="rId67"/>
          <w:headerReference w:type="default" r:id="rId68"/>
          <w:footerReference w:type="even" r:id="rId69"/>
          <w:footerReference w:type="default" r:id="rId70"/>
          <w:headerReference w:type="first" r:id="rId71"/>
          <w:footerReference w:type="first" r:id="rId72"/>
          <w:pgSz w:w="16838" w:h="11906" w:orient="landscape"/>
          <w:pgMar w:top="720" w:right="720" w:bottom="864" w:left="936" w:header="288" w:footer="72" w:gutter="0"/>
          <w:cols w:space="720"/>
          <w:noEndnote/>
          <w:docGrid w:linePitch="360"/>
        </w:sectPr>
      </w:pPr>
    </w:p>
    <w:p w14:paraId="6C0DD6F2"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40" w:name="_Toc256000096"/>
      <w:r w:rsidRPr="009201B2">
        <w:rPr>
          <w:rFonts w:ascii="Times New Roman" w:hAnsi="Times New Roman" w:cs="Times New Roman"/>
          <w:b w:val="0"/>
          <w:color w:val="000000"/>
          <w:sz w:val="24"/>
          <w:lang w:val="lt-LT"/>
        </w:rPr>
        <w:lastRenderedPageBreak/>
        <w:t>6. Partnerystė</w:t>
      </w:r>
      <w:bookmarkEnd w:id="40"/>
    </w:p>
    <w:p w14:paraId="69FBFA2C" w14:textId="77777777" w:rsidR="00A77B3E" w:rsidRPr="009201B2" w:rsidRDefault="00003C2A">
      <w:pPr>
        <w:spacing w:before="100"/>
        <w:rPr>
          <w:color w:val="000000"/>
          <w:sz w:val="16"/>
          <w:lang w:val="lt-LT"/>
        </w:rPr>
      </w:pPr>
      <w:r w:rsidRPr="009201B2">
        <w:rPr>
          <w:color w:val="000000"/>
          <w:lang w:val="lt-LT"/>
        </w:rPr>
        <w:t>Nuoroda: BNR 22 straipsnio 3 dalies h punktas</w:t>
      </w:r>
    </w:p>
    <w:p w14:paraId="02B9585C"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7F5D2D" w14:paraId="696A37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7F63E4" w14:textId="77777777" w:rsidR="00A77B3E" w:rsidRPr="009201B2" w:rsidRDefault="00A77B3E">
            <w:pPr>
              <w:spacing w:before="100"/>
              <w:rPr>
                <w:color w:val="000000"/>
                <w:sz w:val="0"/>
                <w:lang w:val="lt-LT"/>
              </w:rPr>
            </w:pPr>
          </w:p>
          <w:p w14:paraId="0127EA97" w14:textId="239BCA7E" w:rsidR="00A77B3E" w:rsidRPr="009201B2" w:rsidRDefault="00D17A1A" w:rsidP="004A5EA0">
            <w:pPr>
              <w:spacing w:before="100"/>
              <w:jc w:val="both"/>
              <w:rPr>
                <w:color w:val="000000"/>
                <w:lang w:val="lt-LT"/>
              </w:rPr>
            </w:pPr>
            <w:r>
              <w:rPr>
                <w:color w:val="000000"/>
                <w:lang w:val="lt-LT"/>
              </w:rPr>
              <w:t>V</w:t>
            </w:r>
            <w:r w:rsidRPr="00D17A1A">
              <w:rPr>
                <w:color w:val="000000"/>
                <w:lang w:val="lt-LT"/>
              </w:rPr>
              <w:t xml:space="preserve">adovaudamasi savo nacionalinėmis taisyklėmis ir praktika bei atsižvelgdama į visus taikomus saugumo reikalavimus, </w:t>
            </w:r>
            <w:r>
              <w:rPr>
                <w:color w:val="000000"/>
                <w:lang w:val="lt-LT"/>
              </w:rPr>
              <w:t>v</w:t>
            </w:r>
            <w:r w:rsidRPr="00D17A1A">
              <w:rPr>
                <w:color w:val="000000"/>
                <w:lang w:val="lt-LT"/>
              </w:rPr>
              <w:t>adovaujančioji institucija į programos rengimą, įgyvendinimą, stebėseną ir vertinimą įtrauks partnerystę su atitinkamomis institucijomis ir įstaigomis. Partneryst</w:t>
            </w:r>
            <w:r w:rsidR="00C1092B">
              <w:rPr>
                <w:color w:val="000000"/>
                <w:lang w:val="lt-LT"/>
              </w:rPr>
              <w:t xml:space="preserve">ė bus sudaroma su </w:t>
            </w:r>
            <w:r w:rsidRPr="00D17A1A">
              <w:rPr>
                <w:color w:val="000000"/>
                <w:lang w:val="lt-LT"/>
              </w:rPr>
              <w:t xml:space="preserve"> atitinkamo</w:t>
            </w:r>
            <w:r w:rsidR="00C1092B">
              <w:rPr>
                <w:color w:val="000000"/>
                <w:lang w:val="lt-LT"/>
              </w:rPr>
              <w:t>mi</w:t>
            </w:r>
            <w:r w:rsidRPr="00D17A1A">
              <w:rPr>
                <w:color w:val="000000"/>
                <w:lang w:val="lt-LT"/>
              </w:rPr>
              <w:t>s nacionalinio, regioninio ir</w:t>
            </w:r>
            <w:r w:rsidR="00C1092B">
              <w:rPr>
                <w:color w:val="000000"/>
                <w:lang w:val="lt-LT"/>
              </w:rPr>
              <w:t>, ka</w:t>
            </w:r>
            <w:r w:rsidR="00C1092B" w:rsidRPr="00D17A1A">
              <w:rPr>
                <w:color w:val="000000"/>
                <w:lang w:val="lt-LT"/>
              </w:rPr>
              <w:t>i taikytina</w:t>
            </w:r>
            <w:r w:rsidR="00C1092B">
              <w:rPr>
                <w:color w:val="000000"/>
                <w:lang w:val="lt-LT"/>
              </w:rPr>
              <w:t xml:space="preserve">, </w:t>
            </w:r>
            <w:r w:rsidRPr="00D17A1A">
              <w:rPr>
                <w:color w:val="000000"/>
                <w:lang w:val="lt-LT"/>
              </w:rPr>
              <w:t>vietos lygmens valdžios institucijo</w:t>
            </w:r>
            <w:r w:rsidR="00C1092B">
              <w:rPr>
                <w:color w:val="000000"/>
                <w:lang w:val="lt-LT"/>
              </w:rPr>
              <w:t>mi</w:t>
            </w:r>
            <w:r w:rsidRPr="00D17A1A">
              <w:rPr>
                <w:color w:val="000000"/>
                <w:lang w:val="lt-LT"/>
              </w:rPr>
              <w:t xml:space="preserve">s. Taip pat, kiek įmanoma, </w:t>
            </w:r>
            <w:r w:rsidR="00C1092B">
              <w:rPr>
                <w:color w:val="000000"/>
                <w:lang w:val="lt-LT"/>
              </w:rPr>
              <w:t xml:space="preserve">partnerystė bus mezgama su </w:t>
            </w:r>
            <w:r w:rsidRPr="00D17A1A">
              <w:rPr>
                <w:color w:val="000000"/>
                <w:lang w:val="lt-LT"/>
              </w:rPr>
              <w:t>atitinkamo</w:t>
            </w:r>
            <w:r w:rsidR="00C1092B">
              <w:rPr>
                <w:color w:val="000000"/>
                <w:lang w:val="lt-LT"/>
              </w:rPr>
              <w:t>mi</w:t>
            </w:r>
            <w:r w:rsidRPr="00D17A1A">
              <w:rPr>
                <w:color w:val="000000"/>
                <w:lang w:val="lt-LT"/>
              </w:rPr>
              <w:t>s nevyriausybinė</w:t>
            </w:r>
            <w:r w:rsidR="00C1092B">
              <w:rPr>
                <w:color w:val="000000"/>
                <w:lang w:val="lt-LT"/>
              </w:rPr>
              <w:t>mi</w:t>
            </w:r>
            <w:r w:rsidRPr="00D17A1A">
              <w:rPr>
                <w:color w:val="000000"/>
                <w:lang w:val="lt-LT"/>
              </w:rPr>
              <w:t>s organizacijo</w:t>
            </w:r>
            <w:r w:rsidR="00C1092B">
              <w:rPr>
                <w:color w:val="000000"/>
                <w:lang w:val="lt-LT"/>
              </w:rPr>
              <w:t>mi</w:t>
            </w:r>
            <w:r w:rsidRPr="00D17A1A">
              <w:rPr>
                <w:color w:val="000000"/>
                <w:lang w:val="lt-LT"/>
              </w:rPr>
              <w:t>s ir ekonominiai</w:t>
            </w:r>
            <w:r w:rsidR="00C1092B">
              <w:rPr>
                <w:color w:val="000000"/>
                <w:lang w:val="lt-LT"/>
              </w:rPr>
              <w:t>s</w:t>
            </w:r>
            <w:r w:rsidRPr="00D17A1A">
              <w:rPr>
                <w:color w:val="000000"/>
                <w:lang w:val="lt-LT"/>
              </w:rPr>
              <w:t xml:space="preserve"> bei socialiniai</w:t>
            </w:r>
            <w:r w:rsidR="00C1092B">
              <w:rPr>
                <w:color w:val="000000"/>
                <w:lang w:val="lt-LT"/>
              </w:rPr>
              <w:t>s</w:t>
            </w:r>
            <w:r w:rsidRPr="00D17A1A">
              <w:rPr>
                <w:color w:val="000000"/>
                <w:lang w:val="lt-LT"/>
              </w:rPr>
              <w:t xml:space="preserve"> partneriai</w:t>
            </w:r>
            <w:r w:rsidR="00C1092B">
              <w:rPr>
                <w:color w:val="000000"/>
                <w:lang w:val="lt-LT"/>
              </w:rPr>
              <w:t>s</w:t>
            </w:r>
            <w:r w:rsidRPr="00D17A1A">
              <w:rPr>
                <w:color w:val="000000"/>
                <w:lang w:val="lt-LT"/>
              </w:rPr>
              <w:t>.</w:t>
            </w:r>
          </w:p>
          <w:p w14:paraId="1104FEDE" w14:textId="77777777" w:rsidR="00D17A1A" w:rsidRPr="00D17A1A" w:rsidRDefault="00D17A1A" w:rsidP="004A5EA0">
            <w:pPr>
              <w:spacing w:before="100"/>
              <w:jc w:val="both"/>
              <w:rPr>
                <w:color w:val="000000"/>
                <w:lang w:val="lt-LT"/>
              </w:rPr>
            </w:pPr>
            <w:r w:rsidRPr="00D17A1A">
              <w:rPr>
                <w:color w:val="000000"/>
                <w:lang w:val="lt-LT"/>
              </w:rPr>
              <w:t>Partnerystė bus vykdoma visapusiškai laikantis atitinkamos kiekvienos partnerių kategorijos institucinės, teisinės ir finansinės jurisdikcijos.</w:t>
            </w:r>
          </w:p>
          <w:p w14:paraId="2B578E5D" w14:textId="389B0B21" w:rsidR="00A77B3E" w:rsidRPr="009201B2" w:rsidRDefault="00D17A1A" w:rsidP="004A5EA0">
            <w:pPr>
              <w:spacing w:before="100"/>
              <w:jc w:val="both"/>
              <w:rPr>
                <w:color w:val="000000"/>
                <w:lang w:val="lt-LT"/>
              </w:rPr>
            </w:pPr>
            <w:r w:rsidRPr="00D17A1A">
              <w:rPr>
                <w:color w:val="000000"/>
                <w:lang w:val="lt-LT"/>
              </w:rPr>
              <w:t xml:space="preserve">Partneriai bus įtraukiami pagal nustatytą poreikį, atsižvelgiant į programos tikslus ir turinį bei </w:t>
            </w:r>
            <w:r>
              <w:rPr>
                <w:color w:val="000000"/>
                <w:lang w:val="lt-LT"/>
              </w:rPr>
              <w:t>V</w:t>
            </w:r>
            <w:r w:rsidRPr="00D17A1A">
              <w:rPr>
                <w:color w:val="000000"/>
                <w:lang w:val="lt-LT"/>
              </w:rPr>
              <w:t xml:space="preserve">SF tikslus. </w:t>
            </w:r>
            <w:r w:rsidR="00003C2A" w:rsidRPr="009201B2">
              <w:rPr>
                <w:color w:val="000000"/>
                <w:lang w:val="lt-LT"/>
              </w:rPr>
              <w:t xml:space="preserve"> </w:t>
            </w:r>
          </w:p>
          <w:p w14:paraId="39DD4B37" w14:textId="3F06799A" w:rsidR="00D17A1A" w:rsidRPr="00D17A1A" w:rsidRDefault="00D17A1A" w:rsidP="004A5EA0">
            <w:pPr>
              <w:spacing w:before="100"/>
              <w:jc w:val="both"/>
              <w:rPr>
                <w:color w:val="000000"/>
                <w:lang w:val="lt-LT"/>
              </w:rPr>
            </w:pPr>
            <w:r w:rsidRPr="00D17A1A">
              <w:rPr>
                <w:color w:val="000000"/>
                <w:lang w:val="lt-LT"/>
              </w:rPr>
              <w:t xml:space="preserve">Lietuva įsteigs stebėsenos komitetą, kuris padės įgyvendinti </w:t>
            </w:r>
            <w:r>
              <w:rPr>
                <w:color w:val="000000"/>
                <w:lang w:val="lt-LT"/>
              </w:rPr>
              <w:t>V</w:t>
            </w:r>
            <w:r w:rsidRPr="00D17A1A">
              <w:rPr>
                <w:color w:val="000000"/>
                <w:lang w:val="lt-LT"/>
              </w:rPr>
              <w:t xml:space="preserve">SF programą. </w:t>
            </w:r>
          </w:p>
          <w:p w14:paraId="0A199C82" w14:textId="7673E567" w:rsidR="00A77B3E" w:rsidRPr="009201B2" w:rsidRDefault="00D17A1A" w:rsidP="004A5EA0">
            <w:pPr>
              <w:spacing w:before="100"/>
              <w:jc w:val="both"/>
              <w:rPr>
                <w:color w:val="000000"/>
                <w:lang w:val="lt-LT"/>
              </w:rPr>
            </w:pPr>
            <w:r w:rsidRPr="00D17A1A">
              <w:rPr>
                <w:color w:val="000000"/>
                <w:lang w:val="lt-LT"/>
              </w:rPr>
              <w:t xml:space="preserve">Darbo tvarkos taisyklėse bus numatyta galimybė įvairiems partneriams, kaip ne nariams, dalyvauti stebėsenos komiteto darbe pagal darbotvarkėje numatytus klausimus. </w:t>
            </w:r>
          </w:p>
          <w:p w14:paraId="1395E917" w14:textId="77777777" w:rsidR="00A77B3E" w:rsidRPr="009201B2" w:rsidRDefault="00A77B3E" w:rsidP="004A5EA0">
            <w:pPr>
              <w:spacing w:before="100"/>
              <w:jc w:val="both"/>
              <w:rPr>
                <w:color w:val="000000"/>
                <w:lang w:val="lt-LT"/>
              </w:rPr>
            </w:pPr>
          </w:p>
          <w:p w14:paraId="791BE43B" w14:textId="2AB40F14" w:rsidR="00A77B3E" w:rsidRPr="009201B2" w:rsidRDefault="00D17A1A" w:rsidP="004A5EA0">
            <w:pPr>
              <w:spacing w:before="100"/>
              <w:jc w:val="both"/>
              <w:rPr>
                <w:color w:val="000000"/>
                <w:lang w:val="lt-LT"/>
              </w:rPr>
            </w:pPr>
            <w:r w:rsidRPr="00D17A1A">
              <w:rPr>
                <w:color w:val="000000"/>
                <w:lang w:val="lt-LT"/>
              </w:rPr>
              <w:t xml:space="preserve">Aktyvus bendradarbiavimas su atitinkamais partneriais ir suinteresuotosiomis šalimis yra pagrindinė sėkmingo </w:t>
            </w:r>
            <w:r>
              <w:rPr>
                <w:color w:val="000000"/>
                <w:lang w:val="lt-LT"/>
              </w:rPr>
              <w:t>V</w:t>
            </w:r>
            <w:r w:rsidRPr="00D17A1A">
              <w:rPr>
                <w:color w:val="000000"/>
                <w:lang w:val="lt-LT"/>
              </w:rPr>
              <w:t xml:space="preserve">SF programos įgyvendinimo sąlyga. Pagrindinis </w:t>
            </w:r>
            <w:r>
              <w:rPr>
                <w:color w:val="000000"/>
                <w:lang w:val="lt-LT"/>
              </w:rPr>
              <w:t>siekis</w:t>
            </w:r>
            <w:r w:rsidRPr="00D17A1A">
              <w:rPr>
                <w:color w:val="000000"/>
                <w:lang w:val="lt-LT"/>
              </w:rPr>
              <w:t xml:space="preserve"> </w:t>
            </w:r>
            <w:r>
              <w:rPr>
                <w:color w:val="000000"/>
                <w:lang w:val="lt-LT"/>
              </w:rPr>
              <w:t>–</w:t>
            </w:r>
            <w:r w:rsidRPr="00D17A1A">
              <w:rPr>
                <w:color w:val="000000"/>
                <w:lang w:val="lt-LT"/>
              </w:rPr>
              <w:t xml:space="preserve"> ilgalaikiai ryšiai su partneriais (valdžios institucijomis, </w:t>
            </w:r>
            <w:r w:rsidR="00BE352F">
              <w:rPr>
                <w:color w:val="000000"/>
                <w:lang w:val="lt-LT"/>
              </w:rPr>
              <w:t xml:space="preserve">projektų vykdytojais </w:t>
            </w:r>
            <w:r w:rsidRPr="00D17A1A">
              <w:rPr>
                <w:color w:val="000000"/>
                <w:lang w:val="lt-LT"/>
              </w:rPr>
              <w:t xml:space="preserve">ir kt.), bendradarbiavimas ir keitimasis gerąja patirtimi. Partnerystės principas integruotas į visus </w:t>
            </w:r>
            <w:r>
              <w:rPr>
                <w:color w:val="000000"/>
                <w:lang w:val="lt-LT"/>
              </w:rPr>
              <w:t>V</w:t>
            </w:r>
            <w:r w:rsidRPr="00D17A1A">
              <w:rPr>
                <w:color w:val="000000"/>
                <w:lang w:val="lt-LT"/>
              </w:rPr>
              <w:t>SF programos etapus: rengimo, įgyvendinimo ir stebėsenos.</w:t>
            </w:r>
            <w:r w:rsidR="00003C2A" w:rsidRPr="009201B2">
              <w:rPr>
                <w:color w:val="000000"/>
                <w:lang w:val="lt-LT"/>
              </w:rPr>
              <w:t xml:space="preserve"> </w:t>
            </w:r>
          </w:p>
          <w:p w14:paraId="3E0F9336" w14:textId="0647090D" w:rsidR="00A77B3E" w:rsidRPr="009201B2" w:rsidRDefault="00D17A1A" w:rsidP="004A5EA0">
            <w:pPr>
              <w:spacing w:before="100"/>
              <w:jc w:val="both"/>
              <w:rPr>
                <w:color w:val="000000"/>
                <w:lang w:val="lt-LT"/>
              </w:rPr>
            </w:pPr>
            <w:r w:rsidRPr="00D17A1A">
              <w:rPr>
                <w:color w:val="000000"/>
                <w:lang w:val="lt-LT"/>
              </w:rPr>
              <w:t xml:space="preserve">Vadovaudamasi partnerystės principu ir atsižvelgdama į </w:t>
            </w:r>
            <w:r>
              <w:rPr>
                <w:color w:val="000000"/>
                <w:lang w:val="lt-LT"/>
              </w:rPr>
              <w:t>V</w:t>
            </w:r>
            <w:r w:rsidRPr="00D17A1A">
              <w:rPr>
                <w:color w:val="000000"/>
                <w:lang w:val="lt-LT"/>
              </w:rPr>
              <w:t xml:space="preserve">SF specifiką, Lietuvos Respublikos vidaus reikalų ministerija (VRM) 2020 m. sausio mėn. oficialiai pakvietė atitinkamas institucijas ir suinteresuotas įstaigas teikti pasiūlymus dėl </w:t>
            </w:r>
            <w:r>
              <w:rPr>
                <w:color w:val="000000"/>
                <w:lang w:val="lt-LT"/>
              </w:rPr>
              <w:t>V</w:t>
            </w:r>
            <w:r w:rsidRPr="00D17A1A">
              <w:rPr>
                <w:color w:val="000000"/>
                <w:lang w:val="lt-LT"/>
              </w:rPr>
              <w:t>SF programos. Pasiūlymus pateikė:</w:t>
            </w:r>
            <w:r>
              <w:rPr>
                <w:color w:val="000000"/>
                <w:lang w:val="lt-LT"/>
              </w:rPr>
              <w:t xml:space="preserve"> </w:t>
            </w:r>
          </w:p>
          <w:p w14:paraId="768F481E" w14:textId="5F3E754B" w:rsidR="00A77B3E" w:rsidRPr="009201B2" w:rsidRDefault="00003C2A" w:rsidP="004A5EA0">
            <w:pPr>
              <w:spacing w:before="100"/>
              <w:jc w:val="both"/>
              <w:rPr>
                <w:color w:val="000000"/>
                <w:lang w:val="lt-LT"/>
              </w:rPr>
            </w:pPr>
            <w:r w:rsidRPr="009201B2">
              <w:rPr>
                <w:color w:val="000000"/>
                <w:lang w:val="lt-LT"/>
              </w:rPr>
              <w:t xml:space="preserve">• </w:t>
            </w:r>
            <w:r w:rsidR="00D45B2E" w:rsidRPr="00D45B2E">
              <w:rPr>
                <w:color w:val="000000"/>
                <w:lang w:val="lt-LT"/>
              </w:rPr>
              <w:t>Informa</w:t>
            </w:r>
            <w:r w:rsidR="00D45B2E">
              <w:rPr>
                <w:color w:val="000000"/>
                <w:lang w:val="lt-LT"/>
              </w:rPr>
              <w:t xml:space="preserve">tikos </w:t>
            </w:r>
            <w:r w:rsidR="00D45B2E" w:rsidRPr="00D45B2E">
              <w:rPr>
                <w:color w:val="000000"/>
                <w:lang w:val="lt-LT"/>
              </w:rPr>
              <w:t>ir ryšių departamentas prie Vidaus reikalų ministerijos (I</w:t>
            </w:r>
            <w:r w:rsidR="00D45B2E">
              <w:rPr>
                <w:color w:val="000000"/>
                <w:lang w:val="lt-LT"/>
              </w:rPr>
              <w:t>R</w:t>
            </w:r>
            <w:r w:rsidR="00D45B2E" w:rsidRPr="00D45B2E">
              <w:rPr>
                <w:color w:val="000000"/>
                <w:lang w:val="lt-LT"/>
              </w:rPr>
              <w:t>D);</w:t>
            </w:r>
            <w:r w:rsidR="00D45B2E">
              <w:rPr>
                <w:color w:val="000000"/>
                <w:lang w:val="lt-LT"/>
              </w:rPr>
              <w:t xml:space="preserve"> </w:t>
            </w:r>
          </w:p>
          <w:p w14:paraId="71CEAE5E" w14:textId="77777777" w:rsidR="00A77B3E" w:rsidRPr="009201B2" w:rsidRDefault="00003C2A" w:rsidP="004A5EA0">
            <w:pPr>
              <w:spacing w:before="100"/>
              <w:jc w:val="both"/>
              <w:rPr>
                <w:color w:val="000000"/>
                <w:lang w:val="lt-LT"/>
              </w:rPr>
            </w:pPr>
            <w:r w:rsidRPr="009201B2">
              <w:rPr>
                <w:color w:val="000000"/>
                <w:lang w:val="lt-LT"/>
              </w:rPr>
              <w:t>• PD;</w:t>
            </w:r>
          </w:p>
          <w:p w14:paraId="21043593" w14:textId="77777777" w:rsidR="00A77B3E" w:rsidRPr="009201B2" w:rsidRDefault="00003C2A" w:rsidP="004A5EA0">
            <w:pPr>
              <w:spacing w:before="100"/>
              <w:jc w:val="both"/>
              <w:rPr>
                <w:color w:val="000000"/>
                <w:lang w:val="lt-LT"/>
              </w:rPr>
            </w:pPr>
            <w:r w:rsidRPr="009201B2">
              <w:rPr>
                <w:color w:val="000000"/>
                <w:lang w:val="lt-LT"/>
              </w:rPr>
              <w:t>• STT;</w:t>
            </w:r>
          </w:p>
          <w:p w14:paraId="398811C2" w14:textId="5FE443CA" w:rsidR="00A77B3E" w:rsidRPr="009201B2" w:rsidRDefault="00003C2A" w:rsidP="004A5EA0">
            <w:pPr>
              <w:spacing w:before="100"/>
              <w:jc w:val="both"/>
              <w:rPr>
                <w:color w:val="000000"/>
                <w:lang w:val="lt-LT"/>
              </w:rPr>
            </w:pPr>
            <w:r w:rsidRPr="009201B2">
              <w:rPr>
                <w:color w:val="000000"/>
                <w:lang w:val="lt-LT"/>
              </w:rPr>
              <w:t>• F</w:t>
            </w:r>
            <w:r w:rsidR="00D45B2E">
              <w:rPr>
                <w:color w:val="000000"/>
                <w:lang w:val="lt-LT"/>
              </w:rPr>
              <w:t>NTT</w:t>
            </w:r>
            <w:r w:rsidRPr="009201B2">
              <w:rPr>
                <w:color w:val="000000"/>
                <w:lang w:val="lt-LT"/>
              </w:rPr>
              <w:t>;</w:t>
            </w:r>
          </w:p>
          <w:p w14:paraId="341E12A6" w14:textId="5404524D" w:rsidR="00A77B3E" w:rsidRPr="009201B2" w:rsidRDefault="00003C2A" w:rsidP="004A5EA0">
            <w:pPr>
              <w:spacing w:before="100"/>
              <w:jc w:val="both"/>
              <w:rPr>
                <w:color w:val="000000"/>
                <w:lang w:val="lt-LT"/>
              </w:rPr>
            </w:pPr>
            <w:r w:rsidRPr="009201B2">
              <w:rPr>
                <w:color w:val="000000"/>
                <w:lang w:val="lt-LT"/>
              </w:rPr>
              <w:t xml:space="preserve">• </w:t>
            </w:r>
            <w:r w:rsidR="00D45B2E">
              <w:rPr>
                <w:color w:val="000000"/>
                <w:lang w:val="lt-LT"/>
              </w:rPr>
              <w:t>Muitinė</w:t>
            </w:r>
            <w:r w:rsidRPr="009201B2">
              <w:rPr>
                <w:color w:val="000000"/>
                <w:lang w:val="lt-LT"/>
              </w:rPr>
              <w:t>;</w:t>
            </w:r>
          </w:p>
          <w:p w14:paraId="00BE359D" w14:textId="090ABB7C" w:rsidR="00A77B3E" w:rsidRPr="009201B2" w:rsidRDefault="00003C2A" w:rsidP="004A5EA0">
            <w:pPr>
              <w:spacing w:before="100"/>
              <w:jc w:val="both"/>
              <w:rPr>
                <w:color w:val="000000"/>
                <w:lang w:val="lt-LT"/>
              </w:rPr>
            </w:pPr>
            <w:r w:rsidRPr="009201B2">
              <w:rPr>
                <w:color w:val="000000"/>
                <w:lang w:val="lt-LT"/>
              </w:rPr>
              <w:t xml:space="preserve">• </w:t>
            </w:r>
            <w:r w:rsidR="00D45B2E">
              <w:rPr>
                <w:color w:val="000000"/>
                <w:lang w:val="lt-LT"/>
              </w:rPr>
              <w:t>VSD</w:t>
            </w:r>
            <w:r w:rsidRPr="009201B2">
              <w:rPr>
                <w:color w:val="000000"/>
                <w:lang w:val="lt-LT"/>
              </w:rPr>
              <w:t>.</w:t>
            </w:r>
          </w:p>
          <w:p w14:paraId="1C1B6A34" w14:textId="29877171" w:rsidR="00A77B3E" w:rsidRPr="009201B2" w:rsidRDefault="00D45B2E" w:rsidP="004A5EA0">
            <w:pPr>
              <w:spacing w:before="100"/>
              <w:jc w:val="both"/>
              <w:rPr>
                <w:color w:val="000000"/>
                <w:lang w:val="lt-LT"/>
              </w:rPr>
            </w:pPr>
            <w:r w:rsidRPr="00D45B2E">
              <w:rPr>
                <w:color w:val="000000"/>
                <w:lang w:val="lt-LT"/>
              </w:rPr>
              <w:t xml:space="preserve">Siekiant tinkamai pasirengti </w:t>
            </w:r>
            <w:r>
              <w:rPr>
                <w:color w:val="000000"/>
                <w:lang w:val="lt-LT"/>
              </w:rPr>
              <w:t>V</w:t>
            </w:r>
            <w:r w:rsidRPr="00D45B2E">
              <w:rPr>
                <w:color w:val="000000"/>
                <w:lang w:val="lt-LT"/>
              </w:rPr>
              <w:t>SF programos valdymui ir kontrolei 2021</w:t>
            </w:r>
            <w:r>
              <w:rPr>
                <w:color w:val="000000"/>
                <w:lang w:val="lt-LT"/>
              </w:rPr>
              <w:t>–</w:t>
            </w:r>
            <w:r w:rsidRPr="00D45B2E">
              <w:rPr>
                <w:color w:val="000000"/>
                <w:lang w:val="lt-LT"/>
              </w:rPr>
              <w:t xml:space="preserve">2027 m. laikotarpiu, VRM 2020 m. balandžio 6 d. įsakymu Nr. 1V-323 sudaryta darbo grupė, kurios tikslas </w:t>
            </w:r>
            <w:r>
              <w:rPr>
                <w:color w:val="000000"/>
                <w:lang w:val="lt-LT"/>
              </w:rPr>
              <w:t>–</w:t>
            </w:r>
            <w:r w:rsidRPr="00D45B2E">
              <w:rPr>
                <w:color w:val="000000"/>
                <w:lang w:val="lt-LT"/>
              </w:rPr>
              <w:t xml:space="preserve"> teikti rekomendacijas VRM, kaip vadovaujančiajai institucijai (VI), dėl galimų prioritetų, remiamų veiksmų ir (ar) veiklų įtrauk</w:t>
            </w:r>
            <w:r w:rsidR="00BE352F">
              <w:rPr>
                <w:color w:val="000000"/>
                <w:lang w:val="lt-LT"/>
              </w:rPr>
              <w:t>imo</w:t>
            </w:r>
            <w:r w:rsidRPr="00D45B2E">
              <w:rPr>
                <w:color w:val="000000"/>
                <w:lang w:val="lt-LT"/>
              </w:rPr>
              <w:t xml:space="preserve"> į</w:t>
            </w:r>
            <w:r w:rsidR="00BE352F" w:rsidRPr="00BE352F">
              <w:t xml:space="preserve"> </w:t>
            </w:r>
            <w:r w:rsidR="00BE352F" w:rsidRPr="00BE352F">
              <w:rPr>
                <w:color w:val="000000"/>
              </w:rPr>
              <w:t xml:space="preserve">Sienų valdymo ir vizų </w:t>
            </w:r>
            <w:r w:rsidR="00BE352F">
              <w:rPr>
                <w:color w:val="000000"/>
              </w:rPr>
              <w:t xml:space="preserve">politikos </w:t>
            </w:r>
            <w:r w:rsidR="00BE352F" w:rsidRPr="00BE352F">
              <w:rPr>
                <w:color w:val="000000"/>
              </w:rPr>
              <w:t>finansinės paramos priemonės, įtrauktos</w:t>
            </w:r>
            <w:r w:rsidR="00BE352F">
              <w:rPr>
                <w:color w:val="000000"/>
              </w:rPr>
              <w:t xml:space="preserve"> į</w:t>
            </w:r>
            <w:r w:rsidRPr="00D45B2E">
              <w:rPr>
                <w:color w:val="000000"/>
                <w:lang w:val="lt-LT"/>
              </w:rPr>
              <w:t xml:space="preserve"> Integruoto sienų valdymo fond</w:t>
            </w:r>
            <w:r w:rsidR="00BE352F">
              <w:rPr>
                <w:color w:val="000000"/>
                <w:lang w:val="lt-LT"/>
              </w:rPr>
              <w:t>ą</w:t>
            </w:r>
            <w:r w:rsidRPr="00D45B2E">
              <w:rPr>
                <w:color w:val="000000"/>
                <w:lang w:val="lt-LT"/>
              </w:rPr>
              <w:t xml:space="preserve">, </w:t>
            </w:r>
            <w:r w:rsidR="00BE352F">
              <w:rPr>
                <w:color w:val="000000"/>
                <w:lang w:val="lt-LT"/>
              </w:rPr>
              <w:t>programos</w:t>
            </w:r>
            <w:r w:rsidRPr="00D45B2E">
              <w:rPr>
                <w:color w:val="000000"/>
                <w:lang w:val="lt-LT"/>
              </w:rPr>
              <w:t xml:space="preserve"> ir </w:t>
            </w:r>
            <w:r>
              <w:rPr>
                <w:color w:val="000000"/>
                <w:lang w:val="lt-LT"/>
              </w:rPr>
              <w:t>V</w:t>
            </w:r>
            <w:r w:rsidRPr="00D45B2E">
              <w:rPr>
                <w:color w:val="000000"/>
                <w:lang w:val="lt-LT"/>
              </w:rPr>
              <w:t xml:space="preserve">SF </w:t>
            </w:r>
            <w:r w:rsidR="00BE352F">
              <w:rPr>
                <w:color w:val="000000"/>
                <w:lang w:val="lt-LT"/>
              </w:rPr>
              <w:t xml:space="preserve">programos </w:t>
            </w:r>
            <w:r w:rsidRPr="00D45B2E">
              <w:rPr>
                <w:color w:val="000000"/>
                <w:lang w:val="lt-LT"/>
              </w:rPr>
              <w:t>projektus.</w:t>
            </w:r>
            <w:r w:rsidR="00003C2A" w:rsidRPr="009201B2">
              <w:rPr>
                <w:color w:val="000000"/>
                <w:lang w:val="lt-LT"/>
              </w:rPr>
              <w:t xml:space="preserve"> </w:t>
            </w:r>
          </w:p>
          <w:p w14:paraId="62C62023" w14:textId="14C3BD5D" w:rsidR="00A77B3E" w:rsidRPr="009201B2" w:rsidRDefault="00D45B2E" w:rsidP="004A5EA0">
            <w:pPr>
              <w:spacing w:before="100"/>
              <w:jc w:val="both"/>
              <w:rPr>
                <w:color w:val="000000"/>
                <w:lang w:val="lt-LT"/>
              </w:rPr>
            </w:pPr>
            <w:r w:rsidRPr="00D45B2E">
              <w:rPr>
                <w:color w:val="000000"/>
                <w:lang w:val="lt-LT"/>
              </w:rPr>
              <w:t xml:space="preserve">Bendradarbiavimas su kompetentingais partneriais padeda apibendrinti pradinę padėtį, spręsti pagrindines problemas, nustatyti trūkumus, poreikius ir pagrindinius prioritetus bei pasiūlyti </w:t>
            </w:r>
            <w:r>
              <w:rPr>
                <w:color w:val="000000"/>
                <w:lang w:val="lt-LT"/>
              </w:rPr>
              <w:t>V</w:t>
            </w:r>
            <w:r w:rsidRPr="00D45B2E">
              <w:rPr>
                <w:color w:val="000000"/>
                <w:lang w:val="lt-LT"/>
              </w:rPr>
              <w:t xml:space="preserve">SF remiamus sprendimus. </w:t>
            </w:r>
          </w:p>
          <w:p w14:paraId="65CBBC7C" w14:textId="4C17B73E" w:rsidR="00A77B3E" w:rsidRPr="009201B2" w:rsidRDefault="00D45B2E" w:rsidP="004A5EA0">
            <w:pPr>
              <w:spacing w:before="100"/>
              <w:jc w:val="both"/>
              <w:rPr>
                <w:color w:val="000000"/>
                <w:lang w:val="lt-LT"/>
              </w:rPr>
            </w:pPr>
            <w:r w:rsidRPr="00D45B2E">
              <w:rPr>
                <w:color w:val="000000"/>
                <w:lang w:val="lt-LT"/>
              </w:rPr>
              <w:t>Darbo grupę sudaro 10 narių, atstovaujančių VRM, Užsienio reikalų ministerijai, Valstybės sienos apsaugos tarnybai prie VRM, I</w:t>
            </w:r>
            <w:r>
              <w:rPr>
                <w:color w:val="000000"/>
                <w:lang w:val="lt-LT"/>
              </w:rPr>
              <w:t>RD</w:t>
            </w:r>
            <w:r w:rsidRPr="00D45B2E">
              <w:rPr>
                <w:color w:val="000000"/>
                <w:lang w:val="lt-LT"/>
              </w:rPr>
              <w:t xml:space="preserve">, PD, STT, </w:t>
            </w:r>
            <w:r>
              <w:rPr>
                <w:color w:val="000000"/>
                <w:lang w:val="lt-LT"/>
              </w:rPr>
              <w:t>FNTT</w:t>
            </w:r>
            <w:r w:rsidRPr="00D45B2E">
              <w:rPr>
                <w:color w:val="000000"/>
                <w:lang w:val="lt-LT"/>
              </w:rPr>
              <w:t xml:space="preserve">, Muitinei ir VSD. Darbo grupei pirmininkauja VRM viceministras. Remdamasi institucijų (numatomų </w:t>
            </w:r>
            <w:r w:rsidR="00BE352F">
              <w:rPr>
                <w:color w:val="000000"/>
                <w:lang w:val="lt-LT"/>
              </w:rPr>
              <w:t>projektų vykdytoj</w:t>
            </w:r>
            <w:r w:rsidR="00A741CD">
              <w:rPr>
                <w:color w:val="000000"/>
                <w:lang w:val="lt-LT"/>
              </w:rPr>
              <w:t>ų</w:t>
            </w:r>
            <w:r w:rsidRPr="00BE352F">
              <w:rPr>
                <w:color w:val="000000"/>
                <w:lang w:val="lt-LT"/>
              </w:rPr>
              <w:t>) pasiūlymais, darbo</w:t>
            </w:r>
            <w:r w:rsidRPr="00D45B2E">
              <w:rPr>
                <w:color w:val="000000"/>
                <w:lang w:val="lt-LT"/>
              </w:rPr>
              <w:t xml:space="preserve"> grupė išanalizavo pasiūlymus, įvertino jų atitiktį Specialiuosiuose reglamentuose numatytiems reikalavimams ir parengė </w:t>
            </w:r>
            <w:r>
              <w:rPr>
                <w:color w:val="000000"/>
                <w:lang w:val="lt-LT"/>
              </w:rPr>
              <w:t>V</w:t>
            </w:r>
            <w:r w:rsidRPr="00D45B2E">
              <w:rPr>
                <w:color w:val="000000"/>
                <w:lang w:val="lt-LT"/>
              </w:rPr>
              <w:t xml:space="preserve">SF programos finansinio plano projektą. </w:t>
            </w:r>
            <w:r>
              <w:rPr>
                <w:color w:val="000000"/>
                <w:lang w:val="lt-LT"/>
              </w:rPr>
              <w:t xml:space="preserve">O </w:t>
            </w:r>
            <w:r w:rsidR="00C400D3">
              <w:rPr>
                <w:color w:val="000000"/>
                <w:lang w:val="lt-LT"/>
              </w:rPr>
              <w:t>VRM</w:t>
            </w:r>
            <w:r w:rsidRPr="00D45B2E">
              <w:rPr>
                <w:color w:val="000000"/>
                <w:lang w:val="lt-LT"/>
              </w:rPr>
              <w:t xml:space="preserve">, glaudžiai bendradarbiaudama su partneriais (institucijomis), atsakingais už saugumą ir (arba) nusikalstamumo prevenciją, kovą su tarpvalstybiniu, sunkiu ir organizuotu nusikalstamumu, parengė </w:t>
            </w:r>
            <w:r>
              <w:rPr>
                <w:color w:val="000000"/>
                <w:lang w:val="lt-LT"/>
              </w:rPr>
              <w:t>V</w:t>
            </w:r>
            <w:r w:rsidRPr="00D45B2E">
              <w:rPr>
                <w:color w:val="000000"/>
                <w:lang w:val="lt-LT"/>
              </w:rPr>
              <w:t>SF programos projektą.</w:t>
            </w:r>
            <w:r>
              <w:rPr>
                <w:color w:val="000000"/>
                <w:lang w:val="lt-LT"/>
              </w:rPr>
              <w:t xml:space="preserve"> </w:t>
            </w:r>
            <w:r w:rsidR="00003C2A" w:rsidRPr="009201B2">
              <w:rPr>
                <w:color w:val="000000"/>
                <w:lang w:val="lt-LT"/>
              </w:rPr>
              <w:t xml:space="preserve"> </w:t>
            </w:r>
          </w:p>
          <w:p w14:paraId="540ADA6E" w14:textId="44DDB265" w:rsidR="00A77B3E" w:rsidRPr="009201B2" w:rsidRDefault="000C59E7" w:rsidP="004A5EA0">
            <w:pPr>
              <w:spacing w:before="100"/>
              <w:jc w:val="both"/>
              <w:rPr>
                <w:color w:val="000000"/>
                <w:lang w:val="lt-LT"/>
              </w:rPr>
            </w:pPr>
            <w:r>
              <w:rPr>
                <w:color w:val="000000"/>
                <w:lang w:val="lt-LT"/>
              </w:rPr>
              <w:t xml:space="preserve">VRM </w:t>
            </w:r>
            <w:r w:rsidR="00C400D3" w:rsidRPr="00C400D3">
              <w:rPr>
                <w:color w:val="000000"/>
                <w:lang w:val="lt-LT"/>
              </w:rPr>
              <w:t xml:space="preserve">užtikrino, kad įvairiuose </w:t>
            </w:r>
            <w:r w:rsidR="00C400D3">
              <w:rPr>
                <w:color w:val="000000"/>
                <w:lang w:val="lt-LT"/>
              </w:rPr>
              <w:t>V</w:t>
            </w:r>
            <w:r w:rsidR="00C400D3" w:rsidRPr="00C400D3">
              <w:rPr>
                <w:color w:val="000000"/>
                <w:lang w:val="lt-LT"/>
              </w:rPr>
              <w:t>SF programavimo ciklo etapuose tarp partnerių nekiltų interesų konfliktų.</w:t>
            </w:r>
          </w:p>
          <w:p w14:paraId="3F6A91B1" w14:textId="36063C7B" w:rsidR="00A77B3E" w:rsidRPr="009201B2" w:rsidRDefault="00C400D3" w:rsidP="004A5EA0">
            <w:pPr>
              <w:spacing w:before="100"/>
              <w:jc w:val="both"/>
              <w:rPr>
                <w:color w:val="000000"/>
                <w:lang w:val="lt-LT"/>
              </w:rPr>
            </w:pPr>
            <w:r w:rsidRPr="00C400D3">
              <w:rPr>
                <w:color w:val="000000"/>
                <w:lang w:val="lt-LT"/>
              </w:rPr>
              <w:t xml:space="preserve">Įgyvendinant, stebint ir vertinant </w:t>
            </w:r>
            <w:r>
              <w:rPr>
                <w:color w:val="000000"/>
                <w:lang w:val="lt-LT"/>
              </w:rPr>
              <w:t>V</w:t>
            </w:r>
            <w:r w:rsidRPr="00C400D3">
              <w:rPr>
                <w:color w:val="000000"/>
                <w:lang w:val="lt-LT"/>
              </w:rPr>
              <w:t>SF programą dalyvaus šie partneriai ir (arba) nacionalinės institucijos:</w:t>
            </w:r>
          </w:p>
          <w:p w14:paraId="76640412" w14:textId="2DCFB7CE" w:rsidR="00A77B3E" w:rsidRPr="009201B2" w:rsidRDefault="00003C2A" w:rsidP="004A5EA0">
            <w:pPr>
              <w:spacing w:before="100"/>
              <w:jc w:val="both"/>
              <w:rPr>
                <w:color w:val="000000"/>
                <w:lang w:val="lt-LT"/>
              </w:rPr>
            </w:pPr>
            <w:r w:rsidRPr="009201B2">
              <w:rPr>
                <w:color w:val="000000"/>
                <w:lang w:val="lt-LT"/>
              </w:rPr>
              <w:lastRenderedPageBreak/>
              <w:t>• I</w:t>
            </w:r>
            <w:r w:rsidR="00C400D3">
              <w:rPr>
                <w:color w:val="000000"/>
                <w:lang w:val="lt-LT"/>
              </w:rPr>
              <w:t>RD</w:t>
            </w:r>
            <w:r w:rsidRPr="009201B2">
              <w:rPr>
                <w:color w:val="000000"/>
                <w:lang w:val="lt-LT"/>
              </w:rPr>
              <w:t>;</w:t>
            </w:r>
          </w:p>
          <w:p w14:paraId="75FD1F65" w14:textId="77777777" w:rsidR="00A77B3E" w:rsidRPr="009201B2" w:rsidRDefault="00003C2A" w:rsidP="004A5EA0">
            <w:pPr>
              <w:spacing w:before="100"/>
              <w:jc w:val="both"/>
              <w:rPr>
                <w:color w:val="000000"/>
                <w:lang w:val="lt-LT"/>
              </w:rPr>
            </w:pPr>
            <w:r w:rsidRPr="009201B2">
              <w:rPr>
                <w:color w:val="000000"/>
                <w:lang w:val="lt-LT"/>
              </w:rPr>
              <w:t>• PD;</w:t>
            </w:r>
          </w:p>
          <w:p w14:paraId="0AAA6573" w14:textId="77777777" w:rsidR="00A77B3E" w:rsidRPr="009201B2" w:rsidRDefault="00003C2A" w:rsidP="004A5EA0">
            <w:pPr>
              <w:spacing w:before="100"/>
              <w:jc w:val="both"/>
              <w:rPr>
                <w:color w:val="000000"/>
                <w:lang w:val="lt-LT"/>
              </w:rPr>
            </w:pPr>
            <w:r w:rsidRPr="009201B2">
              <w:rPr>
                <w:color w:val="000000"/>
                <w:lang w:val="lt-LT"/>
              </w:rPr>
              <w:t>• STT;</w:t>
            </w:r>
          </w:p>
          <w:p w14:paraId="460294B7" w14:textId="36196FBE" w:rsidR="00A77B3E" w:rsidRPr="009201B2" w:rsidRDefault="00003C2A" w:rsidP="004A5EA0">
            <w:pPr>
              <w:spacing w:before="100"/>
              <w:jc w:val="both"/>
              <w:rPr>
                <w:color w:val="000000"/>
                <w:lang w:val="lt-LT"/>
              </w:rPr>
            </w:pPr>
            <w:r w:rsidRPr="009201B2">
              <w:rPr>
                <w:color w:val="000000"/>
                <w:lang w:val="lt-LT"/>
              </w:rPr>
              <w:t>• F</w:t>
            </w:r>
            <w:r w:rsidR="00C400D3">
              <w:rPr>
                <w:color w:val="000000"/>
                <w:lang w:val="lt-LT"/>
              </w:rPr>
              <w:t>NTT</w:t>
            </w:r>
            <w:r w:rsidRPr="009201B2">
              <w:rPr>
                <w:color w:val="000000"/>
                <w:lang w:val="lt-LT"/>
              </w:rPr>
              <w:t>;</w:t>
            </w:r>
          </w:p>
          <w:p w14:paraId="6C100333" w14:textId="5C04886E" w:rsidR="00A77B3E" w:rsidRPr="009201B2" w:rsidRDefault="00003C2A" w:rsidP="004A5EA0">
            <w:pPr>
              <w:spacing w:before="100"/>
              <w:jc w:val="both"/>
              <w:rPr>
                <w:color w:val="000000"/>
                <w:lang w:val="lt-LT"/>
              </w:rPr>
            </w:pPr>
            <w:r w:rsidRPr="009201B2">
              <w:rPr>
                <w:color w:val="000000"/>
                <w:lang w:val="lt-LT"/>
              </w:rPr>
              <w:t xml:space="preserve">• </w:t>
            </w:r>
            <w:r w:rsidR="00C400D3">
              <w:rPr>
                <w:color w:val="000000"/>
                <w:lang w:val="lt-LT"/>
              </w:rPr>
              <w:t>Muitinė</w:t>
            </w:r>
            <w:r w:rsidRPr="009201B2">
              <w:rPr>
                <w:color w:val="000000"/>
                <w:lang w:val="lt-LT"/>
              </w:rPr>
              <w:t>;</w:t>
            </w:r>
          </w:p>
          <w:p w14:paraId="3D57A9BF" w14:textId="6056C869" w:rsidR="00A77B3E" w:rsidRPr="009201B2" w:rsidRDefault="00003C2A" w:rsidP="004A5EA0">
            <w:pPr>
              <w:spacing w:before="100"/>
              <w:jc w:val="both"/>
              <w:rPr>
                <w:color w:val="000000"/>
                <w:lang w:val="lt-LT"/>
              </w:rPr>
            </w:pPr>
            <w:r w:rsidRPr="009201B2">
              <w:rPr>
                <w:color w:val="000000"/>
                <w:lang w:val="lt-LT"/>
              </w:rPr>
              <w:t xml:space="preserve">• </w:t>
            </w:r>
            <w:r w:rsidR="00C400D3">
              <w:rPr>
                <w:color w:val="000000"/>
                <w:lang w:val="lt-LT"/>
              </w:rPr>
              <w:t>V</w:t>
            </w:r>
            <w:r w:rsidRPr="009201B2">
              <w:rPr>
                <w:color w:val="000000"/>
                <w:lang w:val="lt-LT"/>
              </w:rPr>
              <w:t>SD.</w:t>
            </w:r>
          </w:p>
          <w:p w14:paraId="6717E5B7" w14:textId="605384D5" w:rsidR="00A77B3E" w:rsidRPr="009201B2" w:rsidRDefault="00C400D3" w:rsidP="004A5EA0">
            <w:pPr>
              <w:spacing w:before="100"/>
              <w:jc w:val="both"/>
              <w:rPr>
                <w:color w:val="000000"/>
                <w:lang w:val="lt-LT"/>
              </w:rPr>
            </w:pPr>
            <w:r w:rsidRPr="00C400D3">
              <w:rPr>
                <w:color w:val="000000"/>
                <w:lang w:val="lt-LT"/>
              </w:rPr>
              <w:t xml:space="preserve">Įgyvendinant </w:t>
            </w:r>
            <w:r>
              <w:rPr>
                <w:color w:val="000000"/>
                <w:lang w:val="lt-LT"/>
              </w:rPr>
              <w:t>V</w:t>
            </w:r>
            <w:r w:rsidRPr="00C400D3">
              <w:rPr>
                <w:color w:val="000000"/>
                <w:lang w:val="lt-LT"/>
              </w:rPr>
              <w:t>SF programą bus svarstomas kitų partnerių dalyvavimas. Verta paminėti, kad reikia atsižvelgti į saugumo klausimą (ypač saugumo, viešosios tvarkos, baudžiamųjų bylų tyrimo sumetimais), kuris riboja aktyvų ir platų įvairių partnerių dalyvavimą.</w:t>
            </w:r>
            <w:r w:rsidR="00003C2A" w:rsidRPr="009201B2">
              <w:rPr>
                <w:color w:val="000000"/>
                <w:lang w:val="lt-LT"/>
              </w:rPr>
              <w:t> </w:t>
            </w:r>
          </w:p>
          <w:p w14:paraId="1AD49BD0" w14:textId="77777777" w:rsidR="00A77B3E" w:rsidRPr="009201B2" w:rsidRDefault="00A77B3E">
            <w:pPr>
              <w:spacing w:before="100"/>
              <w:rPr>
                <w:color w:val="000000"/>
                <w:lang w:val="lt-LT"/>
              </w:rPr>
            </w:pPr>
          </w:p>
        </w:tc>
      </w:tr>
    </w:tbl>
    <w:p w14:paraId="2ADF3703" w14:textId="77777777" w:rsidR="00A77B3E" w:rsidRPr="009201B2" w:rsidRDefault="00003C2A">
      <w:pPr>
        <w:pStyle w:val="Antrat1"/>
        <w:spacing w:before="100" w:after="0"/>
        <w:rPr>
          <w:rFonts w:ascii="Times New Roman" w:hAnsi="Times New Roman" w:cs="Times New Roman"/>
          <w:b w:val="0"/>
          <w:color w:val="000000"/>
          <w:sz w:val="24"/>
          <w:lang w:val="lt-LT"/>
        </w:rPr>
      </w:pPr>
      <w:r w:rsidRPr="009201B2">
        <w:rPr>
          <w:rFonts w:ascii="Times New Roman" w:hAnsi="Times New Roman" w:cs="Times New Roman"/>
          <w:b w:val="0"/>
          <w:color w:val="000000"/>
          <w:sz w:val="24"/>
          <w:lang w:val="lt-LT"/>
        </w:rPr>
        <w:lastRenderedPageBreak/>
        <w:br w:type="page"/>
      </w:r>
      <w:bookmarkStart w:id="41" w:name="_Toc256000097"/>
      <w:r w:rsidRPr="009201B2">
        <w:rPr>
          <w:rFonts w:ascii="Times New Roman" w:hAnsi="Times New Roman" w:cs="Times New Roman"/>
          <w:b w:val="0"/>
          <w:color w:val="000000"/>
          <w:sz w:val="24"/>
          <w:lang w:val="lt-LT"/>
        </w:rPr>
        <w:lastRenderedPageBreak/>
        <w:t>7. Komunikacija ir matomumas</w:t>
      </w:r>
      <w:bookmarkEnd w:id="41"/>
    </w:p>
    <w:p w14:paraId="504E32F3" w14:textId="77777777" w:rsidR="00A77B3E" w:rsidRPr="009201B2" w:rsidRDefault="00003C2A">
      <w:pPr>
        <w:spacing w:before="100"/>
        <w:rPr>
          <w:color w:val="000000"/>
          <w:sz w:val="16"/>
          <w:lang w:val="lt-LT"/>
        </w:rPr>
      </w:pPr>
      <w:r w:rsidRPr="009201B2">
        <w:rPr>
          <w:color w:val="000000"/>
          <w:lang w:val="lt-LT"/>
        </w:rPr>
        <w:t>Nuoroda: BNR 22 straipsnio 3 dalies j punktas.</w:t>
      </w:r>
    </w:p>
    <w:p w14:paraId="63056B58"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535D32" w:rsidRPr="009201B2" w14:paraId="070B95C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F3EB5B" w14:textId="77777777" w:rsidR="00A77B3E" w:rsidRPr="009201B2" w:rsidRDefault="00A77B3E">
            <w:pPr>
              <w:spacing w:before="100"/>
              <w:rPr>
                <w:color w:val="000000"/>
                <w:sz w:val="0"/>
                <w:lang w:val="lt-LT"/>
              </w:rPr>
            </w:pPr>
          </w:p>
          <w:p w14:paraId="7B266E34" w14:textId="3CEE3E64" w:rsidR="00C400D3" w:rsidRPr="00C400D3" w:rsidRDefault="00C400D3" w:rsidP="004A5EA0">
            <w:pPr>
              <w:spacing w:before="100"/>
              <w:jc w:val="both"/>
              <w:rPr>
                <w:color w:val="000000"/>
                <w:lang w:val="lt-LT"/>
              </w:rPr>
            </w:pPr>
            <w:r w:rsidRPr="00C400D3">
              <w:rPr>
                <w:color w:val="000000"/>
                <w:lang w:val="lt-LT"/>
              </w:rPr>
              <w:t xml:space="preserve">Tikslas: užtikrinti </w:t>
            </w:r>
            <w:r>
              <w:rPr>
                <w:color w:val="000000"/>
                <w:lang w:val="lt-LT"/>
              </w:rPr>
              <w:t>VSF lėšomis vykdomų veiklų</w:t>
            </w:r>
            <w:r w:rsidRPr="00C400D3">
              <w:rPr>
                <w:color w:val="000000"/>
                <w:lang w:val="lt-LT"/>
              </w:rPr>
              <w:t xml:space="preserve"> matomumą, skaidrumą ir komunikaciją bei prisidėti prie aukšto saugumo lygio užtikrinimo Lietuvoje.</w:t>
            </w:r>
          </w:p>
          <w:p w14:paraId="34023AAF" w14:textId="1ADC5401" w:rsidR="00A77B3E" w:rsidRPr="009201B2" w:rsidRDefault="00C400D3" w:rsidP="004A5EA0">
            <w:pPr>
              <w:spacing w:before="100"/>
              <w:jc w:val="both"/>
              <w:rPr>
                <w:color w:val="000000"/>
                <w:lang w:val="lt-LT"/>
              </w:rPr>
            </w:pPr>
            <w:r w:rsidRPr="00C400D3">
              <w:rPr>
                <w:color w:val="000000"/>
                <w:lang w:val="lt-LT"/>
              </w:rPr>
              <w:t>Tikslinė auditorija:</w:t>
            </w:r>
            <w:r>
              <w:rPr>
                <w:color w:val="000000"/>
                <w:lang w:val="lt-LT"/>
              </w:rPr>
              <w:t xml:space="preserve"> </w:t>
            </w:r>
          </w:p>
          <w:p w14:paraId="54922689" w14:textId="508BB451" w:rsidR="00A77B3E" w:rsidRPr="009201B2" w:rsidRDefault="00003C2A" w:rsidP="004A5EA0">
            <w:pPr>
              <w:spacing w:before="100"/>
              <w:jc w:val="both"/>
              <w:rPr>
                <w:color w:val="000000"/>
                <w:lang w:val="lt-LT"/>
              </w:rPr>
            </w:pPr>
            <w:r w:rsidRPr="009201B2">
              <w:rPr>
                <w:color w:val="000000"/>
                <w:lang w:val="lt-LT"/>
              </w:rPr>
              <w:t xml:space="preserve">- </w:t>
            </w:r>
            <w:r w:rsidR="00C400D3" w:rsidRPr="00C400D3">
              <w:rPr>
                <w:color w:val="000000"/>
                <w:lang w:val="lt-LT"/>
              </w:rPr>
              <w:t xml:space="preserve">visuomenė, kuri yra pagrindinė </w:t>
            </w:r>
            <w:r w:rsidR="00C400D3">
              <w:rPr>
                <w:color w:val="000000"/>
                <w:lang w:val="lt-LT"/>
              </w:rPr>
              <w:t>V</w:t>
            </w:r>
            <w:r w:rsidR="00C400D3" w:rsidRPr="00C400D3">
              <w:rPr>
                <w:color w:val="000000"/>
                <w:lang w:val="lt-LT"/>
              </w:rPr>
              <w:t xml:space="preserve">SF lėšų </w:t>
            </w:r>
            <w:r w:rsidR="003B0E4A">
              <w:rPr>
                <w:color w:val="000000"/>
                <w:lang w:val="lt-LT"/>
              </w:rPr>
              <w:t xml:space="preserve">naudos </w:t>
            </w:r>
            <w:r w:rsidR="00C400D3" w:rsidRPr="00C400D3">
              <w:rPr>
                <w:color w:val="000000"/>
                <w:lang w:val="lt-LT"/>
              </w:rPr>
              <w:t>gavėja</w:t>
            </w:r>
            <w:r w:rsidRPr="009201B2">
              <w:rPr>
                <w:color w:val="000000"/>
                <w:lang w:val="lt-LT"/>
              </w:rPr>
              <w:t>;</w:t>
            </w:r>
          </w:p>
          <w:p w14:paraId="05DD433E" w14:textId="735B92F3" w:rsidR="00A77B3E" w:rsidRPr="009201B2" w:rsidRDefault="00003C2A" w:rsidP="004A5EA0">
            <w:pPr>
              <w:spacing w:before="100"/>
              <w:jc w:val="both"/>
              <w:rPr>
                <w:color w:val="000000"/>
                <w:lang w:val="lt-LT"/>
              </w:rPr>
            </w:pPr>
            <w:r w:rsidRPr="009201B2">
              <w:rPr>
                <w:color w:val="000000"/>
                <w:lang w:val="lt-LT"/>
              </w:rPr>
              <w:t xml:space="preserve">- </w:t>
            </w:r>
            <w:r w:rsidR="00C400D3" w:rsidRPr="00C400D3">
              <w:rPr>
                <w:color w:val="000000"/>
                <w:lang w:val="lt-LT"/>
              </w:rPr>
              <w:t>pareiškėjai, kuriems svarbu būti tinkamai informuotiems apie galimybę sklandžiai teikti paraiškas ir dalyvauti skaidriame atrankos proces</w:t>
            </w:r>
            <w:r w:rsidR="00C400D3">
              <w:rPr>
                <w:color w:val="000000"/>
                <w:lang w:val="lt-LT"/>
              </w:rPr>
              <w:t>e</w:t>
            </w:r>
            <w:r w:rsidRPr="009201B2">
              <w:rPr>
                <w:color w:val="000000"/>
                <w:lang w:val="lt-LT"/>
              </w:rPr>
              <w:t>;</w:t>
            </w:r>
          </w:p>
          <w:p w14:paraId="14696377" w14:textId="27BE6620" w:rsidR="00A77B3E" w:rsidRPr="009201B2" w:rsidRDefault="00003C2A" w:rsidP="004A5EA0">
            <w:pPr>
              <w:spacing w:before="100"/>
              <w:jc w:val="both"/>
              <w:rPr>
                <w:color w:val="000000"/>
                <w:lang w:val="lt-LT"/>
              </w:rPr>
            </w:pPr>
            <w:r w:rsidRPr="009201B2">
              <w:rPr>
                <w:color w:val="000000"/>
                <w:lang w:val="lt-LT"/>
              </w:rPr>
              <w:t>-</w:t>
            </w:r>
            <w:r w:rsidR="003B0E4A">
              <w:rPr>
                <w:color w:val="000000"/>
                <w:lang w:val="lt-LT"/>
              </w:rPr>
              <w:t>projektų vykdytojai</w:t>
            </w:r>
            <w:r w:rsidR="00C400D3" w:rsidRPr="00C400D3">
              <w:rPr>
                <w:color w:val="000000"/>
                <w:lang w:val="lt-LT"/>
              </w:rPr>
              <w:t>, kuriems svarbu žinoti visus projektų įgyvendinimo procesus ir reikalavimus</w:t>
            </w:r>
            <w:r w:rsidRPr="009201B2">
              <w:rPr>
                <w:color w:val="000000"/>
                <w:lang w:val="lt-LT"/>
              </w:rPr>
              <w:t>;</w:t>
            </w:r>
          </w:p>
          <w:p w14:paraId="2A1979B7" w14:textId="5D6D5BB9" w:rsidR="00A77B3E" w:rsidRPr="009201B2" w:rsidRDefault="00003C2A" w:rsidP="004A5EA0">
            <w:pPr>
              <w:spacing w:before="100"/>
              <w:jc w:val="both"/>
              <w:rPr>
                <w:color w:val="000000"/>
                <w:lang w:val="lt-LT"/>
              </w:rPr>
            </w:pPr>
            <w:r w:rsidRPr="009201B2">
              <w:rPr>
                <w:color w:val="000000"/>
                <w:lang w:val="lt-LT"/>
              </w:rPr>
              <w:t xml:space="preserve">- </w:t>
            </w:r>
            <w:r w:rsidR="00C766EA">
              <w:rPr>
                <w:color w:val="000000"/>
                <w:lang w:val="lt-LT"/>
              </w:rPr>
              <w:t>ž</w:t>
            </w:r>
            <w:r w:rsidR="00C400D3" w:rsidRPr="00C400D3">
              <w:rPr>
                <w:color w:val="000000"/>
                <w:lang w:val="lt-LT"/>
              </w:rPr>
              <w:t>iniasklaida, atitinkamų sričių ekspertai, kurių įžvalgos ir patarimai naudingi tiek informuojant, tiek aktyviau įtraukiant visuomenę</w:t>
            </w:r>
            <w:r w:rsidR="00C400D3">
              <w:rPr>
                <w:color w:val="000000"/>
                <w:lang w:val="lt-LT"/>
              </w:rPr>
              <w:t>;</w:t>
            </w:r>
          </w:p>
          <w:p w14:paraId="2E5F1EC6" w14:textId="610A36EE" w:rsidR="00A77B3E" w:rsidRPr="009201B2" w:rsidRDefault="00003C2A" w:rsidP="004A5EA0">
            <w:pPr>
              <w:spacing w:before="100"/>
              <w:jc w:val="both"/>
              <w:rPr>
                <w:color w:val="000000"/>
                <w:lang w:val="lt-LT"/>
              </w:rPr>
            </w:pPr>
            <w:r w:rsidRPr="009201B2">
              <w:rPr>
                <w:color w:val="000000"/>
                <w:lang w:val="lt-LT"/>
              </w:rPr>
              <w:t xml:space="preserve">- </w:t>
            </w:r>
            <w:r w:rsidR="00C400D3">
              <w:rPr>
                <w:color w:val="000000"/>
                <w:lang w:val="lt-LT"/>
              </w:rPr>
              <w:t>kitų valstybių narių teisėsaugos institucijos</w:t>
            </w:r>
            <w:r w:rsidRPr="009201B2">
              <w:rPr>
                <w:color w:val="000000"/>
                <w:lang w:val="lt-LT"/>
              </w:rPr>
              <w:t>.</w:t>
            </w:r>
          </w:p>
          <w:p w14:paraId="122C5BBD" w14:textId="6D39C1E6" w:rsidR="00A77B3E" w:rsidRPr="009201B2" w:rsidRDefault="00C400D3" w:rsidP="004A5EA0">
            <w:pPr>
              <w:spacing w:before="100"/>
              <w:jc w:val="both"/>
              <w:rPr>
                <w:color w:val="000000"/>
                <w:lang w:val="lt-LT"/>
              </w:rPr>
            </w:pPr>
            <w:r>
              <w:rPr>
                <w:color w:val="000000"/>
                <w:lang w:val="lt-LT"/>
              </w:rPr>
              <w:t>Komunikacijos</w:t>
            </w:r>
            <w:r w:rsidRPr="00C400D3">
              <w:rPr>
                <w:color w:val="000000"/>
                <w:lang w:val="lt-LT"/>
              </w:rPr>
              <w:t xml:space="preserve"> kanalai. Komunikacijos priemonių ir kanalų pasirinkimas priklauso nuo konkrečios komunikacijos kampanijos tikslo ir tikslinės auditorijos. Pagrindiniai komunikacijos kanalai</w:t>
            </w:r>
            <w:r w:rsidR="00003C2A" w:rsidRPr="009201B2">
              <w:rPr>
                <w:color w:val="000000"/>
                <w:lang w:val="lt-LT"/>
              </w:rPr>
              <w:t xml:space="preserve">: </w:t>
            </w:r>
          </w:p>
          <w:p w14:paraId="46A27EBD" w14:textId="77777777" w:rsidR="00C400D3" w:rsidRPr="00C400D3" w:rsidRDefault="00003C2A" w:rsidP="004A5EA0">
            <w:pPr>
              <w:spacing w:before="100"/>
              <w:jc w:val="both"/>
              <w:rPr>
                <w:color w:val="000000"/>
                <w:lang w:val="lt-LT"/>
              </w:rPr>
            </w:pPr>
            <w:r w:rsidRPr="009201B2">
              <w:rPr>
                <w:color w:val="000000"/>
                <w:lang w:val="lt-LT"/>
              </w:rPr>
              <w:t xml:space="preserve">- </w:t>
            </w:r>
            <w:r w:rsidR="00C400D3" w:rsidRPr="00C400D3">
              <w:rPr>
                <w:color w:val="000000"/>
                <w:lang w:val="lt-LT"/>
              </w:rPr>
              <w:t>tradiciniai (renginiai, naujienų portalai, fiziniai stendai, televizija, radijas);</w:t>
            </w:r>
          </w:p>
          <w:p w14:paraId="4AC811EA" w14:textId="1BE074DB" w:rsidR="00A77B3E" w:rsidRPr="009201B2" w:rsidRDefault="00C400D3" w:rsidP="004A5EA0">
            <w:pPr>
              <w:spacing w:before="100"/>
              <w:jc w:val="both"/>
              <w:rPr>
                <w:color w:val="000000"/>
                <w:lang w:val="lt-LT"/>
              </w:rPr>
            </w:pPr>
            <w:r w:rsidRPr="00C400D3">
              <w:rPr>
                <w:color w:val="000000"/>
                <w:lang w:val="lt-LT"/>
              </w:rPr>
              <w:t>- skaitmeniniai (interneto svetainės, socialinė žiniasklaida).</w:t>
            </w:r>
            <w:r>
              <w:rPr>
                <w:color w:val="000000"/>
                <w:lang w:val="lt-LT"/>
              </w:rPr>
              <w:t xml:space="preserve"> </w:t>
            </w:r>
          </w:p>
          <w:p w14:paraId="32D1330F" w14:textId="233D2C57" w:rsidR="00A77B3E" w:rsidRPr="009201B2" w:rsidRDefault="00C400D3" w:rsidP="004A5EA0">
            <w:pPr>
              <w:spacing w:before="100"/>
              <w:jc w:val="both"/>
              <w:rPr>
                <w:color w:val="000000"/>
                <w:lang w:val="lt-LT"/>
              </w:rPr>
            </w:pPr>
            <w:r w:rsidRPr="00C400D3">
              <w:rPr>
                <w:color w:val="000000"/>
                <w:lang w:val="lt-LT"/>
              </w:rPr>
              <w:t xml:space="preserve">Komunikacija ir matomumas įgyvendinami dviem lygmenimis. Vadovaujančioji institucija (VI) yra atsakinga už komunikacijos ir matomumo priemones </w:t>
            </w:r>
            <w:r>
              <w:rPr>
                <w:color w:val="000000"/>
                <w:lang w:val="lt-LT"/>
              </w:rPr>
              <w:t>V</w:t>
            </w:r>
            <w:r w:rsidRPr="00C400D3">
              <w:rPr>
                <w:color w:val="000000"/>
                <w:lang w:val="lt-LT"/>
              </w:rPr>
              <w:t xml:space="preserve">SF programos lygmeniu: teikia informaciją apie </w:t>
            </w:r>
            <w:r>
              <w:rPr>
                <w:color w:val="000000"/>
                <w:lang w:val="lt-LT"/>
              </w:rPr>
              <w:t>V</w:t>
            </w:r>
            <w:r w:rsidRPr="00C400D3">
              <w:rPr>
                <w:color w:val="000000"/>
                <w:lang w:val="lt-LT"/>
              </w:rPr>
              <w:t xml:space="preserve">SF programos įgyvendinimą institucijoms, Stebėsenos komitetui, pareiškėjams, </w:t>
            </w:r>
            <w:r w:rsidR="003B0E4A">
              <w:rPr>
                <w:color w:val="000000"/>
                <w:lang w:val="lt-LT"/>
              </w:rPr>
              <w:t>projektų vykdytojams</w:t>
            </w:r>
            <w:r w:rsidRPr="003B0E4A">
              <w:rPr>
                <w:color w:val="000000"/>
                <w:lang w:val="lt-LT"/>
              </w:rPr>
              <w:t>, visuomenei ir kt</w:t>
            </w:r>
            <w:r w:rsidRPr="00C400D3">
              <w:rPr>
                <w:color w:val="000000"/>
                <w:lang w:val="lt-LT"/>
              </w:rPr>
              <w:t xml:space="preserve">. Tarpinė institucija ir </w:t>
            </w:r>
            <w:r w:rsidR="003B0E4A" w:rsidRPr="003B0E4A">
              <w:rPr>
                <w:color w:val="000000"/>
                <w:lang w:val="lt-LT"/>
              </w:rPr>
              <w:t>projektų vykdytojai</w:t>
            </w:r>
            <w:r w:rsidR="003B0E4A">
              <w:rPr>
                <w:color w:val="000000"/>
                <w:lang w:val="lt-LT"/>
              </w:rPr>
              <w:t xml:space="preserve"> </w:t>
            </w:r>
            <w:r w:rsidRPr="00C400D3">
              <w:rPr>
                <w:color w:val="000000"/>
                <w:lang w:val="lt-LT"/>
              </w:rPr>
              <w:t xml:space="preserve">yra atsakingi už informavimo ir viešinimo priemones projektų lygmeniu. </w:t>
            </w:r>
            <w:r w:rsidR="003B0E4A">
              <w:rPr>
                <w:color w:val="000000"/>
                <w:lang w:val="lt-LT"/>
              </w:rPr>
              <w:t>P</w:t>
            </w:r>
            <w:r w:rsidR="003B0E4A" w:rsidRPr="003B0E4A">
              <w:rPr>
                <w:color w:val="000000"/>
                <w:lang w:val="lt-LT"/>
              </w:rPr>
              <w:t>rojektų vykdytojai</w:t>
            </w:r>
            <w:r w:rsidR="003B0E4A">
              <w:rPr>
                <w:color w:val="000000"/>
                <w:lang w:val="lt-LT"/>
              </w:rPr>
              <w:t xml:space="preserve"> </w:t>
            </w:r>
            <w:r w:rsidRPr="00C400D3">
              <w:rPr>
                <w:color w:val="000000"/>
                <w:lang w:val="lt-LT"/>
              </w:rPr>
              <w:t>vykdo informavimo ir viešinimo veiklą per leidinius, straipsnius spaudoje, kitą informacinę medžiagą</w:t>
            </w:r>
            <w:r w:rsidR="00003C2A" w:rsidRPr="009201B2">
              <w:rPr>
                <w:color w:val="000000"/>
                <w:lang w:val="lt-LT"/>
              </w:rPr>
              <w:t>.</w:t>
            </w:r>
          </w:p>
          <w:p w14:paraId="1EA084B8" w14:textId="25C5D67D" w:rsidR="00A77B3E" w:rsidRPr="009201B2" w:rsidRDefault="00C400D3" w:rsidP="004A5EA0">
            <w:pPr>
              <w:spacing w:before="100"/>
              <w:jc w:val="both"/>
              <w:rPr>
                <w:color w:val="000000"/>
                <w:lang w:val="lt-LT"/>
              </w:rPr>
            </w:pPr>
            <w:r>
              <w:rPr>
                <w:color w:val="000000"/>
                <w:lang w:val="lt-LT"/>
              </w:rPr>
              <w:t>E</w:t>
            </w:r>
            <w:r w:rsidRPr="00C400D3">
              <w:rPr>
                <w:color w:val="000000"/>
                <w:lang w:val="lt-LT"/>
              </w:rPr>
              <w:t>uropos Sąjungos piliečių informavimas apie fondų vaidmenį ir pasiekimus bus užtikrinamas per vieną interneto portalą, kuriame bus galima susipažinti su visomis Lietuvai skirtomis programomis.</w:t>
            </w:r>
          </w:p>
          <w:p w14:paraId="0F103826" w14:textId="5AB7BC09" w:rsidR="00A77B3E" w:rsidRPr="009201B2" w:rsidRDefault="00C400D3" w:rsidP="004A5EA0">
            <w:pPr>
              <w:spacing w:before="100"/>
              <w:jc w:val="both"/>
              <w:rPr>
                <w:color w:val="000000"/>
                <w:lang w:val="lt-LT"/>
              </w:rPr>
            </w:pPr>
            <w:r w:rsidRPr="00C400D3">
              <w:rPr>
                <w:color w:val="000000"/>
                <w:lang w:val="lt-LT"/>
              </w:rPr>
              <w:t>Siekiant užtikrinti nuoseklumą, visais lygmenimis bus paskirtas vienas bendras komunikacijos pareigūnas ir (arba) koordinatorius.</w:t>
            </w:r>
          </w:p>
          <w:p w14:paraId="7C46D135" w14:textId="7CDACF8E" w:rsidR="00A77B3E" w:rsidRPr="009201B2" w:rsidRDefault="00C400D3" w:rsidP="004A5EA0">
            <w:pPr>
              <w:spacing w:before="100"/>
              <w:jc w:val="both"/>
              <w:rPr>
                <w:color w:val="000000"/>
                <w:lang w:val="lt-LT"/>
              </w:rPr>
            </w:pPr>
            <w:r w:rsidRPr="00C400D3">
              <w:rPr>
                <w:color w:val="000000"/>
                <w:lang w:val="lt-LT"/>
              </w:rPr>
              <w:t xml:space="preserve">VI užtikrins, kad interneto svetainėje būtų skelbiama informacija apie </w:t>
            </w:r>
            <w:r>
              <w:rPr>
                <w:color w:val="000000"/>
                <w:lang w:val="lt-LT"/>
              </w:rPr>
              <w:t>V</w:t>
            </w:r>
            <w:r w:rsidRPr="00C400D3">
              <w:rPr>
                <w:color w:val="000000"/>
                <w:lang w:val="lt-LT"/>
              </w:rPr>
              <w:t>SF programą, apimanti visą informaciją (programos tikslai, veikla, turimos finansavimo galimybės, pasiekimai ir t. t.)</w:t>
            </w:r>
            <w:r w:rsidR="00731B49">
              <w:rPr>
                <w:color w:val="000000"/>
                <w:lang w:val="lt-LT"/>
              </w:rPr>
              <w:t>,</w:t>
            </w:r>
            <w:r w:rsidRPr="00C400D3">
              <w:rPr>
                <w:color w:val="000000"/>
                <w:lang w:val="lt-LT"/>
              </w:rPr>
              <w:t xml:space="preserve"> </w:t>
            </w:r>
            <w:r w:rsidR="00731B49" w:rsidRPr="00C400D3">
              <w:rPr>
                <w:color w:val="000000"/>
                <w:lang w:val="lt-LT"/>
              </w:rPr>
              <w:t xml:space="preserve">reikalaujamą pagal Bendrųjų nuostatų reglamentą (BNR) </w:t>
            </w:r>
            <w:r w:rsidRPr="00C400D3">
              <w:rPr>
                <w:color w:val="000000"/>
                <w:lang w:val="lt-LT"/>
              </w:rPr>
              <w:t xml:space="preserve">ir </w:t>
            </w:r>
            <w:r>
              <w:rPr>
                <w:color w:val="000000"/>
                <w:lang w:val="lt-LT"/>
              </w:rPr>
              <w:t>V</w:t>
            </w:r>
            <w:r w:rsidRPr="00C400D3">
              <w:rPr>
                <w:color w:val="000000"/>
                <w:lang w:val="lt-LT"/>
              </w:rPr>
              <w:t>SF reglamentą.</w:t>
            </w:r>
          </w:p>
          <w:p w14:paraId="43D4E26D" w14:textId="71598580" w:rsidR="00A77B3E" w:rsidRPr="009201B2" w:rsidRDefault="00C400D3" w:rsidP="004A5EA0">
            <w:pPr>
              <w:spacing w:before="100"/>
              <w:jc w:val="both"/>
              <w:rPr>
                <w:color w:val="000000"/>
                <w:lang w:val="lt-LT"/>
              </w:rPr>
            </w:pPr>
            <w:r w:rsidRPr="00C400D3">
              <w:rPr>
                <w:color w:val="000000"/>
                <w:lang w:val="lt-LT"/>
              </w:rPr>
              <w:t xml:space="preserve">Vykdydamos matomumo, skaidrumo ir komunikacijos veiklą, VI, tarpinė institucija ir </w:t>
            </w:r>
            <w:r w:rsidR="003B0E4A" w:rsidRPr="003B0E4A">
              <w:rPr>
                <w:color w:val="000000"/>
                <w:lang w:val="lt-LT"/>
              </w:rPr>
              <w:t>projektų vykdytojai</w:t>
            </w:r>
            <w:r w:rsidR="003B0E4A">
              <w:rPr>
                <w:color w:val="000000"/>
                <w:lang w:val="lt-LT"/>
              </w:rPr>
              <w:t xml:space="preserve"> </w:t>
            </w:r>
            <w:r w:rsidRPr="00C400D3">
              <w:rPr>
                <w:color w:val="000000"/>
                <w:lang w:val="lt-LT"/>
              </w:rPr>
              <w:t>naudoja Europos Sąjungos emblemą pagal Bendr</w:t>
            </w:r>
            <w:r>
              <w:rPr>
                <w:color w:val="000000"/>
                <w:lang w:val="lt-LT"/>
              </w:rPr>
              <w:t xml:space="preserve">ųjų nuostatų </w:t>
            </w:r>
            <w:r w:rsidRPr="00C400D3">
              <w:rPr>
                <w:color w:val="000000"/>
                <w:lang w:val="lt-LT"/>
              </w:rPr>
              <w:t>reglamento VIII priedą</w:t>
            </w:r>
            <w:r w:rsidR="00003C2A" w:rsidRPr="009201B2">
              <w:rPr>
                <w:color w:val="000000"/>
                <w:lang w:val="lt-LT"/>
              </w:rPr>
              <w:t>.</w:t>
            </w:r>
          </w:p>
          <w:p w14:paraId="26D3747D" w14:textId="77777777" w:rsidR="00905B7D" w:rsidRDefault="00C400D3" w:rsidP="004A5EA0">
            <w:pPr>
              <w:spacing w:before="100"/>
              <w:jc w:val="both"/>
              <w:rPr>
                <w:color w:val="000000"/>
                <w:lang w:val="lt-LT"/>
              </w:rPr>
            </w:pPr>
            <w:r>
              <w:rPr>
                <w:color w:val="000000"/>
                <w:lang w:val="lt-LT"/>
              </w:rPr>
              <w:t>K</w:t>
            </w:r>
            <w:r w:rsidRPr="00C400D3">
              <w:rPr>
                <w:color w:val="000000"/>
                <w:lang w:val="lt-LT"/>
              </w:rPr>
              <w:t xml:space="preserve">omunikacijos veiklai vertinti naudojami </w:t>
            </w:r>
            <w:r w:rsidRPr="00905B7D">
              <w:rPr>
                <w:color w:val="000000"/>
                <w:lang w:val="lt-LT"/>
              </w:rPr>
              <w:t>produkto rodikliai.</w:t>
            </w:r>
          </w:p>
          <w:p w14:paraId="7C5C96A1" w14:textId="502A1E99" w:rsidR="00A77B3E" w:rsidRPr="009201B2" w:rsidRDefault="00C400D3" w:rsidP="004A5EA0">
            <w:pPr>
              <w:spacing w:before="100"/>
              <w:jc w:val="both"/>
              <w:rPr>
                <w:color w:val="000000"/>
                <w:lang w:val="lt-LT"/>
              </w:rPr>
            </w:pPr>
            <w:r w:rsidRPr="00C400D3">
              <w:rPr>
                <w:color w:val="000000"/>
                <w:lang w:val="lt-LT"/>
              </w:rPr>
              <w:t xml:space="preserve">Biudžetas: ne mažiau kaip 5 proc. visos </w:t>
            </w:r>
            <w:r w:rsidRPr="00C766EA">
              <w:rPr>
                <w:color w:val="000000"/>
                <w:lang w:val="lt-LT"/>
              </w:rPr>
              <w:t>TP.</w:t>
            </w:r>
            <w:r>
              <w:rPr>
                <w:color w:val="000000"/>
                <w:lang w:val="lt-LT"/>
              </w:rPr>
              <w:t xml:space="preserve"> </w:t>
            </w:r>
          </w:p>
        </w:tc>
      </w:tr>
    </w:tbl>
    <w:p w14:paraId="627DAD5C" w14:textId="77777777" w:rsidR="00A77B3E" w:rsidRPr="009201B2" w:rsidRDefault="00003C2A">
      <w:pPr>
        <w:pStyle w:val="Antrat1"/>
        <w:spacing w:before="100" w:after="0"/>
        <w:rPr>
          <w:rFonts w:ascii="Times New Roman" w:hAnsi="Times New Roman" w:cs="Times New Roman"/>
          <w:b w:val="0"/>
          <w:color w:val="000000"/>
          <w:sz w:val="24"/>
          <w:lang w:val="lt-LT"/>
        </w:rPr>
      </w:pPr>
      <w:r w:rsidRPr="009201B2">
        <w:rPr>
          <w:rFonts w:ascii="Times New Roman" w:hAnsi="Times New Roman" w:cs="Times New Roman"/>
          <w:b w:val="0"/>
          <w:color w:val="000000"/>
          <w:sz w:val="24"/>
          <w:lang w:val="lt-LT"/>
        </w:rPr>
        <w:br w:type="page"/>
      </w:r>
      <w:bookmarkStart w:id="42" w:name="_Toc256000098"/>
      <w:r w:rsidRPr="009201B2">
        <w:rPr>
          <w:rFonts w:ascii="Times New Roman" w:hAnsi="Times New Roman" w:cs="Times New Roman"/>
          <w:b w:val="0"/>
          <w:color w:val="000000"/>
          <w:sz w:val="24"/>
          <w:lang w:val="lt-LT"/>
        </w:rPr>
        <w:lastRenderedPageBreak/>
        <w:t>8. Vieneto įkainių, fiksuotųjų sumų, fiksuotųjų normų ir su išlaidomis nesusijusio finansavimo taikymas</w:t>
      </w:r>
      <w:bookmarkEnd w:id="42"/>
    </w:p>
    <w:p w14:paraId="0A7099DC" w14:textId="77777777" w:rsidR="00A77B3E" w:rsidRPr="009201B2" w:rsidRDefault="00003C2A">
      <w:pPr>
        <w:spacing w:before="100"/>
        <w:rPr>
          <w:color w:val="000000"/>
          <w:sz w:val="16"/>
          <w:lang w:val="lt-LT"/>
        </w:rPr>
      </w:pPr>
      <w:r w:rsidRPr="009201B2">
        <w:rPr>
          <w:color w:val="000000"/>
          <w:lang w:val="lt-LT"/>
        </w:rPr>
        <w:t>Nuoroda: BNR 94 ir 95 straipsniai</w:t>
      </w:r>
    </w:p>
    <w:p w14:paraId="1CCB54EE"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gridCol w:w="487"/>
        <w:gridCol w:w="354"/>
      </w:tblGrid>
      <w:tr w:rsidR="00535D32" w:rsidRPr="009201B2" w14:paraId="51136F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5F74B" w14:textId="77777777" w:rsidR="00A77B3E" w:rsidRPr="009201B2" w:rsidRDefault="00003C2A">
            <w:pPr>
              <w:spacing w:before="100"/>
              <w:jc w:val="center"/>
              <w:rPr>
                <w:color w:val="000000"/>
                <w:sz w:val="20"/>
                <w:lang w:val="lt-LT"/>
              </w:rPr>
            </w:pPr>
            <w:r w:rsidRPr="009201B2">
              <w:rPr>
                <w:color w:val="000000"/>
                <w:sz w:val="20"/>
                <w:lang w:val="lt-LT"/>
              </w:rPr>
              <w:t>Numatomas BNR 94 ir 95 straipsnių taikymas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6CC101" w14:textId="77777777" w:rsidR="00A77B3E" w:rsidRPr="009201B2" w:rsidRDefault="00003C2A">
            <w:pPr>
              <w:spacing w:before="100"/>
              <w:jc w:val="center"/>
              <w:rPr>
                <w:color w:val="000000"/>
                <w:sz w:val="20"/>
                <w:lang w:val="lt-LT"/>
              </w:rPr>
            </w:pPr>
            <w:r w:rsidRPr="009201B2">
              <w:rPr>
                <w:color w:val="000000"/>
                <w:sz w:val="20"/>
                <w:lang w:val="lt-LT"/>
              </w:rPr>
              <w:t>Taip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350527" w14:textId="77777777" w:rsidR="00A77B3E" w:rsidRPr="009201B2" w:rsidRDefault="00003C2A">
            <w:pPr>
              <w:spacing w:before="100"/>
              <w:jc w:val="center"/>
              <w:rPr>
                <w:color w:val="000000"/>
                <w:sz w:val="20"/>
                <w:lang w:val="lt-LT"/>
              </w:rPr>
            </w:pPr>
            <w:r w:rsidRPr="009201B2">
              <w:rPr>
                <w:color w:val="000000"/>
                <w:sz w:val="20"/>
                <w:lang w:val="lt-LT"/>
              </w:rPr>
              <w:t>Ne</w:t>
            </w:r>
          </w:p>
        </w:tc>
      </w:tr>
      <w:tr w:rsidR="00535D32" w:rsidRPr="009201B2" w14:paraId="591B29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917CC" w14:textId="77777777" w:rsidR="00A77B3E" w:rsidRPr="009201B2" w:rsidRDefault="00003C2A">
            <w:pPr>
              <w:spacing w:before="100"/>
              <w:rPr>
                <w:color w:val="000000"/>
                <w:sz w:val="20"/>
                <w:lang w:val="lt-LT"/>
              </w:rPr>
            </w:pPr>
            <w:r w:rsidRPr="009201B2">
              <w:rPr>
                <w:color w:val="000000"/>
                <w:sz w:val="20"/>
                <w:lang w:val="lt-LT"/>
              </w:rPr>
              <w:t>Nuo programos patvirtinimo bus taikomas Sąjungos įnašo atlyginimas, grindžiamas vieneto įkainiais, fiksuotosiomis sumomis ir fiksuotosiomis normomis atitinkamo prioriteto atžvilgiu, pagal BNR 94 straipsnį</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2DC88" w14:textId="77777777" w:rsidR="00A77B3E" w:rsidRPr="009201B2" w:rsidRDefault="00003C2A">
            <w:pPr>
              <w:spacing w:before="100"/>
              <w:rPr>
                <w:color w:val="000000"/>
                <w:sz w:val="20"/>
                <w:lang w:val="lt-LT"/>
              </w:rPr>
            </w:pPr>
            <w:r w:rsidRPr="009201B2">
              <w:rPr>
                <w:color w:val="000000"/>
                <w:sz w:val="20"/>
                <w:lang w:val="lt-LT"/>
              </w:rPr>
              <w:fldChar w:fldCharType="begin">
                <w:ffData>
                  <w:name w:val=""/>
                  <w:enabled/>
                  <w:calcOnExit w:val="0"/>
                  <w:checkBox>
                    <w:size w:val="20"/>
                    <w:default w:val="0"/>
                    <w:checked w:val="0"/>
                  </w:checkBox>
                </w:ffData>
              </w:fldChar>
            </w:r>
            <w:r w:rsidRPr="009201B2">
              <w:rPr>
                <w:color w:val="000000"/>
                <w:sz w:val="20"/>
                <w:lang w:val="lt-LT"/>
              </w:rPr>
              <w:instrText xml:space="preserve"> FORMCHECKBOX </w:instrText>
            </w:r>
            <w:r w:rsidR="004A5EA0">
              <w:rPr>
                <w:color w:val="000000"/>
                <w:sz w:val="20"/>
                <w:lang w:val="lt-LT"/>
              </w:rPr>
            </w:r>
            <w:r w:rsidR="004A5EA0">
              <w:rPr>
                <w:color w:val="000000"/>
                <w:sz w:val="20"/>
                <w:lang w:val="lt-LT"/>
              </w:rPr>
              <w:fldChar w:fldCharType="separate"/>
            </w:r>
            <w:r w:rsidRPr="009201B2">
              <w:rPr>
                <w:color w:val="000000"/>
                <w:sz w:val="20"/>
                <w:lang w:val="lt-LT"/>
              </w:rPr>
              <w:fldChar w:fldCharType="end"/>
            </w:r>
            <w:r w:rsidRPr="009201B2">
              <w:rPr>
                <w:color w:val="000000"/>
                <w:sz w:val="20"/>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304C7" w14:textId="77777777" w:rsidR="00A77B3E" w:rsidRPr="009201B2" w:rsidRDefault="00003C2A">
            <w:pPr>
              <w:spacing w:before="100"/>
              <w:rPr>
                <w:color w:val="000000"/>
                <w:sz w:val="20"/>
                <w:lang w:val="lt-LT"/>
              </w:rPr>
            </w:pPr>
            <w:r w:rsidRPr="009201B2">
              <w:rPr>
                <w:color w:val="000000"/>
                <w:sz w:val="20"/>
                <w:lang w:val="lt-LT"/>
              </w:rPr>
              <w:fldChar w:fldCharType="begin">
                <w:ffData>
                  <w:name w:val=""/>
                  <w:enabled/>
                  <w:calcOnExit w:val="0"/>
                  <w:checkBox>
                    <w:size w:val="20"/>
                    <w:default w:val="1"/>
                    <w:checked/>
                  </w:checkBox>
                </w:ffData>
              </w:fldChar>
            </w:r>
            <w:r w:rsidRPr="009201B2">
              <w:rPr>
                <w:color w:val="000000"/>
                <w:sz w:val="20"/>
                <w:lang w:val="lt-LT"/>
              </w:rPr>
              <w:instrText xml:space="preserve"> FORMCHECKBOX </w:instrText>
            </w:r>
            <w:r w:rsidR="004A5EA0">
              <w:rPr>
                <w:color w:val="000000"/>
                <w:sz w:val="20"/>
                <w:lang w:val="lt-LT"/>
              </w:rPr>
            </w:r>
            <w:r w:rsidR="004A5EA0">
              <w:rPr>
                <w:color w:val="000000"/>
                <w:sz w:val="20"/>
                <w:lang w:val="lt-LT"/>
              </w:rPr>
              <w:fldChar w:fldCharType="separate"/>
            </w:r>
            <w:r w:rsidRPr="009201B2">
              <w:rPr>
                <w:color w:val="000000"/>
                <w:sz w:val="20"/>
                <w:lang w:val="lt-LT"/>
              </w:rPr>
              <w:fldChar w:fldCharType="end"/>
            </w:r>
            <w:r w:rsidRPr="009201B2">
              <w:rPr>
                <w:color w:val="000000"/>
                <w:sz w:val="20"/>
                <w:lang w:val="lt-LT"/>
              </w:rPr>
              <w:t xml:space="preserve"> </w:t>
            </w:r>
          </w:p>
        </w:tc>
      </w:tr>
      <w:tr w:rsidR="00535D32" w:rsidRPr="009201B2" w14:paraId="236B6C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29AA3" w14:textId="77777777" w:rsidR="00A77B3E" w:rsidRPr="009201B2" w:rsidRDefault="00003C2A">
            <w:pPr>
              <w:spacing w:before="100"/>
              <w:rPr>
                <w:color w:val="000000"/>
                <w:sz w:val="20"/>
                <w:lang w:val="lt-LT"/>
              </w:rPr>
            </w:pPr>
            <w:r w:rsidRPr="009201B2">
              <w:rPr>
                <w:color w:val="000000"/>
                <w:sz w:val="20"/>
                <w:lang w:val="lt-LT"/>
              </w:rPr>
              <w:t>Nuo programos patvirtinimo bus taikomas Sąjungos įnašo atlyginimas, grindžiamas finansavimu, nesusijusiu su išlaidomis, pagal BNR 95 straipsnį</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31A8F" w14:textId="77777777" w:rsidR="00A77B3E" w:rsidRPr="009201B2" w:rsidRDefault="00003C2A">
            <w:pPr>
              <w:spacing w:before="100"/>
              <w:rPr>
                <w:color w:val="000000"/>
                <w:sz w:val="20"/>
                <w:lang w:val="lt-LT"/>
              </w:rPr>
            </w:pPr>
            <w:r w:rsidRPr="009201B2">
              <w:rPr>
                <w:color w:val="000000"/>
                <w:sz w:val="20"/>
                <w:lang w:val="lt-LT"/>
              </w:rPr>
              <w:fldChar w:fldCharType="begin">
                <w:ffData>
                  <w:name w:val=""/>
                  <w:enabled/>
                  <w:calcOnExit w:val="0"/>
                  <w:checkBox>
                    <w:size w:val="20"/>
                    <w:default w:val="0"/>
                    <w:checked w:val="0"/>
                  </w:checkBox>
                </w:ffData>
              </w:fldChar>
            </w:r>
            <w:r w:rsidRPr="009201B2">
              <w:rPr>
                <w:color w:val="000000"/>
                <w:sz w:val="20"/>
                <w:lang w:val="lt-LT"/>
              </w:rPr>
              <w:instrText xml:space="preserve"> FORMCHECKBOX </w:instrText>
            </w:r>
            <w:r w:rsidR="004A5EA0">
              <w:rPr>
                <w:color w:val="000000"/>
                <w:sz w:val="20"/>
                <w:lang w:val="lt-LT"/>
              </w:rPr>
            </w:r>
            <w:r w:rsidR="004A5EA0">
              <w:rPr>
                <w:color w:val="000000"/>
                <w:sz w:val="20"/>
                <w:lang w:val="lt-LT"/>
              </w:rPr>
              <w:fldChar w:fldCharType="separate"/>
            </w:r>
            <w:r w:rsidRPr="009201B2">
              <w:rPr>
                <w:color w:val="000000"/>
                <w:sz w:val="20"/>
                <w:lang w:val="lt-LT"/>
              </w:rPr>
              <w:fldChar w:fldCharType="end"/>
            </w:r>
            <w:r w:rsidRPr="009201B2">
              <w:rPr>
                <w:color w:val="000000"/>
                <w:sz w:val="20"/>
                <w:lang w:val="lt-LT"/>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EB465" w14:textId="77777777" w:rsidR="00A77B3E" w:rsidRPr="009201B2" w:rsidRDefault="00003C2A">
            <w:pPr>
              <w:spacing w:before="100"/>
              <w:rPr>
                <w:color w:val="000000"/>
                <w:sz w:val="20"/>
                <w:lang w:val="lt-LT"/>
              </w:rPr>
            </w:pPr>
            <w:r w:rsidRPr="009201B2">
              <w:rPr>
                <w:color w:val="000000"/>
                <w:sz w:val="20"/>
                <w:lang w:val="lt-LT"/>
              </w:rPr>
              <w:fldChar w:fldCharType="begin">
                <w:ffData>
                  <w:name w:val=""/>
                  <w:enabled/>
                  <w:calcOnExit w:val="0"/>
                  <w:checkBox>
                    <w:size w:val="20"/>
                    <w:default w:val="1"/>
                    <w:checked/>
                  </w:checkBox>
                </w:ffData>
              </w:fldChar>
            </w:r>
            <w:r w:rsidRPr="009201B2">
              <w:rPr>
                <w:color w:val="000000"/>
                <w:sz w:val="20"/>
                <w:lang w:val="lt-LT"/>
              </w:rPr>
              <w:instrText xml:space="preserve"> FORMCHECKBOX </w:instrText>
            </w:r>
            <w:r w:rsidR="004A5EA0">
              <w:rPr>
                <w:color w:val="000000"/>
                <w:sz w:val="20"/>
                <w:lang w:val="lt-LT"/>
              </w:rPr>
            </w:r>
            <w:r w:rsidR="004A5EA0">
              <w:rPr>
                <w:color w:val="000000"/>
                <w:sz w:val="20"/>
                <w:lang w:val="lt-LT"/>
              </w:rPr>
              <w:fldChar w:fldCharType="separate"/>
            </w:r>
            <w:r w:rsidRPr="009201B2">
              <w:rPr>
                <w:color w:val="000000"/>
                <w:sz w:val="20"/>
                <w:lang w:val="lt-LT"/>
              </w:rPr>
              <w:fldChar w:fldCharType="end"/>
            </w:r>
            <w:r w:rsidRPr="009201B2">
              <w:rPr>
                <w:color w:val="000000"/>
                <w:sz w:val="20"/>
                <w:lang w:val="lt-LT"/>
              </w:rPr>
              <w:t xml:space="preserve"> </w:t>
            </w:r>
          </w:p>
        </w:tc>
      </w:tr>
    </w:tbl>
    <w:p w14:paraId="6B293EA4" w14:textId="77777777" w:rsidR="00A77B3E" w:rsidRPr="009201B2" w:rsidRDefault="00A77B3E">
      <w:pPr>
        <w:spacing w:before="100"/>
        <w:jc w:val="center"/>
        <w:rPr>
          <w:color w:val="000000"/>
          <w:sz w:val="20"/>
          <w:lang w:val="lt-LT"/>
        </w:rPr>
        <w:sectPr w:rsidR="00A77B3E" w:rsidRPr="009201B2">
          <w:headerReference w:type="even" r:id="rId73"/>
          <w:headerReference w:type="default" r:id="rId74"/>
          <w:footerReference w:type="even" r:id="rId75"/>
          <w:footerReference w:type="default" r:id="rId76"/>
          <w:headerReference w:type="first" r:id="rId77"/>
          <w:footerReference w:type="first" r:id="rId78"/>
          <w:pgSz w:w="11906" w:h="16838"/>
          <w:pgMar w:top="720" w:right="936" w:bottom="864" w:left="720" w:header="0" w:footer="72" w:gutter="0"/>
          <w:cols w:space="720"/>
          <w:noEndnote/>
          <w:docGrid w:linePitch="360"/>
        </w:sectPr>
      </w:pPr>
    </w:p>
    <w:p w14:paraId="28551A62"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43" w:name="_Toc256000099"/>
      <w:r w:rsidRPr="009201B2">
        <w:rPr>
          <w:rFonts w:ascii="Times New Roman" w:hAnsi="Times New Roman" w:cs="Times New Roman"/>
          <w:b w:val="0"/>
          <w:color w:val="000000"/>
          <w:sz w:val="24"/>
          <w:lang w:val="lt-LT"/>
        </w:rPr>
        <w:lastRenderedPageBreak/>
        <w:t>1 priedėlis. Sąjungos įnašas vieneto įkainių, fiksuotųjų sumų ir fiksuotųjų normų pagrindu</w:t>
      </w:r>
      <w:bookmarkEnd w:id="43"/>
    </w:p>
    <w:p w14:paraId="63E1DE5E"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44" w:name="_Toc256000100"/>
      <w:r w:rsidRPr="009201B2">
        <w:rPr>
          <w:rFonts w:ascii="Times New Roman" w:hAnsi="Times New Roman" w:cs="Times New Roman"/>
          <w:b w:val="0"/>
          <w:i w:val="0"/>
          <w:color w:val="000000"/>
          <w:sz w:val="24"/>
          <w:lang w:val="lt-LT"/>
        </w:rPr>
        <w:t>A. Pagrindinių elementų santrauka</w:t>
      </w:r>
      <w:bookmarkEnd w:id="44"/>
    </w:p>
    <w:p w14:paraId="6B1CA1E6"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497"/>
        <w:gridCol w:w="1298"/>
        <w:gridCol w:w="1996"/>
        <w:gridCol w:w="1298"/>
        <w:gridCol w:w="1996"/>
        <w:gridCol w:w="1498"/>
        <w:gridCol w:w="1199"/>
        <w:gridCol w:w="1498"/>
      </w:tblGrid>
      <w:tr w:rsidR="00535D32" w:rsidRPr="009201B2" w14:paraId="4E4F0A8C"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7BE805" w14:textId="77777777" w:rsidR="00A77B3E" w:rsidRPr="009201B2" w:rsidRDefault="00003C2A">
            <w:pPr>
              <w:spacing w:before="100"/>
              <w:jc w:val="center"/>
              <w:rPr>
                <w:color w:val="000000"/>
                <w:sz w:val="12"/>
                <w:lang w:val="lt-LT"/>
              </w:rPr>
            </w:pPr>
            <w:r w:rsidRPr="009201B2">
              <w:rPr>
                <w:color w:val="000000"/>
                <w:sz w:val="12"/>
                <w:lang w:val="lt-LT"/>
              </w:rPr>
              <w:t>Konkretus tikslas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0DE35" w14:textId="77777777" w:rsidR="00A77B3E" w:rsidRPr="009201B2" w:rsidRDefault="00003C2A">
            <w:pPr>
              <w:spacing w:before="100"/>
              <w:jc w:val="center"/>
              <w:rPr>
                <w:color w:val="000000"/>
                <w:sz w:val="12"/>
                <w:lang w:val="lt-LT"/>
              </w:rPr>
            </w:pPr>
            <w:r w:rsidRPr="009201B2">
              <w:rPr>
                <w:color w:val="000000"/>
                <w:sz w:val="12"/>
                <w:lang w:val="lt-LT"/>
              </w:rPr>
              <w:t>Apskaičiuotoji viso finansinio asignavimo dalis konkrečiame tiksle, kuriai bus taikomas supaprastintas išlaidų apmokėjimas,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981A7" w14:textId="77777777" w:rsidR="00A77B3E" w:rsidRPr="009201B2" w:rsidRDefault="00003C2A">
            <w:pPr>
              <w:spacing w:before="100"/>
              <w:jc w:val="center"/>
              <w:rPr>
                <w:color w:val="000000"/>
                <w:sz w:val="12"/>
                <w:lang w:val="lt-LT"/>
              </w:rPr>
            </w:pPr>
            <w:r w:rsidRPr="009201B2">
              <w:rPr>
                <w:color w:val="000000"/>
                <w:sz w:val="12"/>
                <w:lang w:val="lt-LT"/>
              </w:rPr>
              <w:t>Veiksmo rūšis (-ys)</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4FBAD0" w14:textId="77777777" w:rsidR="00A77B3E" w:rsidRPr="009201B2" w:rsidRDefault="00003C2A">
            <w:pPr>
              <w:spacing w:before="100"/>
              <w:jc w:val="center"/>
              <w:rPr>
                <w:color w:val="000000"/>
                <w:sz w:val="12"/>
                <w:lang w:val="lt-LT"/>
              </w:rPr>
            </w:pPr>
            <w:r w:rsidRPr="009201B2">
              <w:rPr>
                <w:color w:val="000000"/>
                <w:sz w:val="12"/>
                <w:lang w:val="lt-LT"/>
              </w:rPr>
              <w:t>Rodiklis, kuriuo remiantis pradedamas atlyginimas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E7A8E" w14:textId="77777777" w:rsidR="00A77B3E" w:rsidRPr="009201B2" w:rsidRDefault="00003C2A">
            <w:pPr>
              <w:spacing w:before="100"/>
              <w:jc w:val="center"/>
              <w:rPr>
                <w:color w:val="000000"/>
                <w:sz w:val="12"/>
                <w:lang w:val="lt-LT"/>
              </w:rPr>
            </w:pPr>
            <w:r w:rsidRPr="009201B2">
              <w:rPr>
                <w:color w:val="000000"/>
                <w:sz w:val="12"/>
                <w:lang w:val="lt-LT"/>
              </w:rPr>
              <w:t>Rodiklio, kuriuo remiantis pradedamas atlyginimas, matavimo vienetas</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706DE1" w14:textId="77777777" w:rsidR="00A77B3E" w:rsidRPr="009201B2" w:rsidRDefault="00003C2A">
            <w:pPr>
              <w:spacing w:before="100"/>
              <w:jc w:val="center"/>
              <w:rPr>
                <w:color w:val="000000"/>
                <w:sz w:val="12"/>
                <w:lang w:val="lt-LT"/>
              </w:rPr>
            </w:pPr>
            <w:r w:rsidRPr="009201B2">
              <w:rPr>
                <w:color w:val="000000"/>
                <w:sz w:val="12"/>
                <w:lang w:val="lt-LT"/>
              </w:rPr>
              <w:t>Supaprastinto išlaidų apmokėjimo rūšis (fiksuotieji vieneto įkainiai, fiksuotosios sumos arba fiksuotosios normos)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437D7" w14:textId="77777777" w:rsidR="00A77B3E" w:rsidRPr="009201B2" w:rsidRDefault="00003C2A">
            <w:pPr>
              <w:spacing w:before="100"/>
              <w:jc w:val="center"/>
              <w:rPr>
                <w:color w:val="000000"/>
                <w:sz w:val="12"/>
                <w:lang w:val="lt-LT"/>
              </w:rPr>
            </w:pPr>
            <w:r w:rsidRPr="009201B2">
              <w:rPr>
                <w:color w:val="000000"/>
                <w:sz w:val="12"/>
                <w:lang w:val="lt-LT"/>
              </w:rPr>
              <w:t>Supaprastinto išlaidų apmokėjimo suma (eurais) arba procentinis dydis (fiksuotųjų normų atveju)</w:t>
            </w:r>
          </w:p>
        </w:tc>
      </w:tr>
      <w:tr w:rsidR="00535D32" w:rsidRPr="009201B2" w14:paraId="4B9E2FE6"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5475B9" w14:textId="77777777" w:rsidR="00A77B3E" w:rsidRPr="009201B2" w:rsidRDefault="00A77B3E">
            <w:pPr>
              <w:spacing w:before="100"/>
              <w:jc w:val="center"/>
              <w:rPr>
                <w:color w:val="000000"/>
                <w:sz w:val="12"/>
                <w:lang w:val="lt-LT"/>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52461" w14:textId="77777777" w:rsidR="00A77B3E" w:rsidRPr="009201B2" w:rsidRDefault="00A77B3E">
            <w:pPr>
              <w:spacing w:before="100"/>
              <w:jc w:val="center"/>
              <w:rPr>
                <w:color w:val="000000"/>
                <w:sz w:val="12"/>
                <w:lang w:val="lt-LT"/>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C185D7" w14:textId="77777777" w:rsidR="00A77B3E" w:rsidRPr="009201B2" w:rsidRDefault="00003C2A">
            <w:pPr>
              <w:spacing w:before="100"/>
              <w:jc w:val="center"/>
              <w:rPr>
                <w:color w:val="000000"/>
                <w:sz w:val="12"/>
                <w:lang w:val="lt-LT"/>
              </w:rPr>
            </w:pPr>
            <w:r w:rsidRPr="009201B2">
              <w:rPr>
                <w:color w:val="000000"/>
                <w:sz w:val="12"/>
                <w:lang w:val="lt-LT"/>
              </w:rPr>
              <w:t>Kodas(1)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385276" w14:textId="77777777" w:rsidR="00A77B3E" w:rsidRPr="009201B2" w:rsidRDefault="00003C2A">
            <w:pPr>
              <w:spacing w:before="100"/>
              <w:jc w:val="center"/>
              <w:rPr>
                <w:color w:val="000000"/>
                <w:sz w:val="12"/>
                <w:lang w:val="lt-LT"/>
              </w:rPr>
            </w:pPr>
            <w:r w:rsidRPr="009201B2">
              <w:rPr>
                <w:color w:val="000000"/>
                <w:sz w:val="12"/>
                <w:lang w:val="lt-LT"/>
              </w:rPr>
              <w:t>Aprašas</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C04C0A" w14:textId="77777777" w:rsidR="00A77B3E" w:rsidRPr="009201B2" w:rsidRDefault="00003C2A">
            <w:pPr>
              <w:spacing w:before="100"/>
              <w:jc w:val="center"/>
              <w:rPr>
                <w:color w:val="000000"/>
                <w:sz w:val="12"/>
                <w:lang w:val="lt-LT"/>
              </w:rPr>
            </w:pPr>
            <w:r w:rsidRPr="009201B2">
              <w:rPr>
                <w:color w:val="000000"/>
                <w:sz w:val="12"/>
                <w:lang w:val="lt-LT"/>
              </w:rPr>
              <w:t>Kodas(2)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31E6F0" w14:textId="77777777" w:rsidR="00A77B3E" w:rsidRPr="009201B2" w:rsidRDefault="00003C2A">
            <w:pPr>
              <w:spacing w:before="100"/>
              <w:jc w:val="center"/>
              <w:rPr>
                <w:color w:val="000000"/>
                <w:sz w:val="12"/>
                <w:lang w:val="lt-LT"/>
              </w:rPr>
            </w:pPr>
            <w:r w:rsidRPr="009201B2">
              <w:rPr>
                <w:color w:val="000000"/>
                <w:sz w:val="12"/>
                <w:lang w:val="lt-LT"/>
              </w:rPr>
              <w:t>Aprašas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54DB9" w14:textId="77777777" w:rsidR="00A77B3E" w:rsidRPr="009201B2" w:rsidRDefault="00A77B3E">
            <w:pPr>
              <w:spacing w:before="100"/>
              <w:jc w:val="center"/>
              <w:rPr>
                <w:color w:val="000000"/>
                <w:sz w:val="12"/>
                <w:lang w:val="lt-LT"/>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35F17" w14:textId="77777777" w:rsidR="00A77B3E" w:rsidRPr="009201B2" w:rsidRDefault="00A77B3E">
            <w:pPr>
              <w:spacing w:before="100"/>
              <w:jc w:val="center"/>
              <w:rPr>
                <w:color w:val="000000"/>
                <w:sz w:val="12"/>
                <w:lang w:val="lt-LT"/>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3C7A1" w14:textId="77777777" w:rsidR="00A77B3E" w:rsidRPr="009201B2" w:rsidRDefault="00A77B3E">
            <w:pPr>
              <w:spacing w:before="100"/>
              <w:jc w:val="center"/>
              <w:rPr>
                <w:color w:val="000000"/>
                <w:sz w:val="12"/>
                <w:lang w:val="lt-LT"/>
              </w:rPr>
            </w:pPr>
          </w:p>
        </w:tc>
      </w:tr>
    </w:tbl>
    <w:p w14:paraId="0EA05E2E" w14:textId="77777777" w:rsidR="00A77B3E" w:rsidRPr="009201B2" w:rsidRDefault="00003C2A">
      <w:pPr>
        <w:spacing w:before="100"/>
        <w:rPr>
          <w:color w:val="000000"/>
          <w:sz w:val="12"/>
          <w:lang w:val="lt-LT"/>
        </w:rPr>
      </w:pPr>
      <w:r w:rsidRPr="009201B2">
        <w:rPr>
          <w:color w:val="000000"/>
          <w:sz w:val="12"/>
          <w:lang w:val="lt-LT"/>
        </w:rPr>
        <w:t>(1) Tai kodas, nurodytas PMIF, SVVP ir VSF reglamentų VI priede.</w:t>
      </w:r>
    </w:p>
    <w:p w14:paraId="3949B319" w14:textId="77777777" w:rsidR="00A77B3E" w:rsidRPr="009201B2" w:rsidRDefault="00003C2A">
      <w:pPr>
        <w:spacing w:before="100"/>
        <w:rPr>
          <w:color w:val="000000"/>
          <w:sz w:val="12"/>
          <w:lang w:val="lt-LT"/>
        </w:rPr>
      </w:pPr>
      <w:r w:rsidRPr="009201B2">
        <w:rPr>
          <w:color w:val="000000"/>
          <w:sz w:val="12"/>
          <w:lang w:val="lt-LT"/>
        </w:rPr>
        <w:t>(2) Tai yra bendrojo rodiklio kodas, jeigu taikytina</w:t>
      </w:r>
    </w:p>
    <w:p w14:paraId="5B689C40" w14:textId="77777777" w:rsidR="00A77B3E" w:rsidRPr="009201B2" w:rsidRDefault="00A77B3E">
      <w:pPr>
        <w:spacing w:before="100"/>
        <w:rPr>
          <w:color w:val="000000"/>
          <w:lang w:val="lt-LT"/>
        </w:rPr>
        <w:sectPr w:rsidR="00A77B3E" w:rsidRPr="009201B2">
          <w:headerReference w:type="even" r:id="rId79"/>
          <w:headerReference w:type="default" r:id="rId80"/>
          <w:footerReference w:type="even" r:id="rId81"/>
          <w:footerReference w:type="default" r:id="rId82"/>
          <w:headerReference w:type="first" r:id="rId83"/>
          <w:footerReference w:type="first" r:id="rId84"/>
          <w:pgSz w:w="16838" w:h="11906" w:orient="landscape"/>
          <w:pgMar w:top="720" w:right="720" w:bottom="864" w:left="936" w:header="288" w:footer="72" w:gutter="0"/>
          <w:cols w:space="720"/>
          <w:noEndnote/>
          <w:docGrid w:linePitch="360"/>
        </w:sectPr>
      </w:pPr>
    </w:p>
    <w:p w14:paraId="573F18BE" w14:textId="77777777" w:rsidR="00A77B3E" w:rsidRPr="009201B2" w:rsidRDefault="00003C2A">
      <w:pPr>
        <w:spacing w:before="100"/>
        <w:rPr>
          <w:color w:val="000000"/>
          <w:lang w:val="lt-LT"/>
        </w:rPr>
      </w:pPr>
      <w:r w:rsidRPr="009201B2">
        <w:rPr>
          <w:color w:val="000000"/>
          <w:lang w:val="lt-LT"/>
        </w:rPr>
        <w:lastRenderedPageBreak/>
        <w:t>1 priedėlis. Sąjungos įnašas vieneto įkainių, fiksuotųjų sumų ir fiksuotųjų normų pagrindu</w:t>
      </w:r>
    </w:p>
    <w:p w14:paraId="2AA51488"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45" w:name="_Toc256000101"/>
      <w:r w:rsidRPr="009201B2">
        <w:rPr>
          <w:rFonts w:ascii="Times New Roman" w:hAnsi="Times New Roman" w:cs="Times New Roman"/>
          <w:b w:val="0"/>
          <w:i w:val="0"/>
          <w:color w:val="000000"/>
          <w:sz w:val="24"/>
          <w:lang w:val="lt-LT"/>
        </w:rPr>
        <w:t>B. Išsami informacija pagal operacijos tipą</w:t>
      </w:r>
      <w:bookmarkEnd w:id="45"/>
    </w:p>
    <w:p w14:paraId="1A116147" w14:textId="77777777" w:rsidR="00A77B3E" w:rsidRPr="009201B2" w:rsidRDefault="00A77B3E">
      <w:pPr>
        <w:spacing w:before="100"/>
        <w:rPr>
          <w:color w:val="000000"/>
          <w:lang w:val="lt-LT"/>
        </w:rPr>
        <w:sectPr w:rsidR="00A77B3E" w:rsidRPr="009201B2">
          <w:pgSz w:w="16838" w:h="11906" w:orient="landscape"/>
          <w:pgMar w:top="720" w:right="720" w:bottom="864" w:left="936" w:header="288" w:footer="72" w:gutter="0"/>
          <w:cols w:space="720"/>
          <w:noEndnote/>
          <w:docGrid w:linePitch="360"/>
        </w:sectPr>
      </w:pPr>
    </w:p>
    <w:p w14:paraId="27CD994A"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46" w:name="_Toc256000102"/>
      <w:r w:rsidRPr="009201B2">
        <w:rPr>
          <w:rFonts w:ascii="Times New Roman" w:hAnsi="Times New Roman" w:cs="Times New Roman"/>
          <w:b w:val="0"/>
          <w:i w:val="0"/>
          <w:color w:val="000000"/>
          <w:sz w:val="24"/>
          <w:lang w:val="lt-LT"/>
        </w:rPr>
        <w:lastRenderedPageBreak/>
        <w:t>C. Fiksuotųjų vieneto įkainių, fiksuotųjų sumų arba fiksuotųjų normų apskaičiavimas</w:t>
      </w:r>
      <w:bookmarkEnd w:id="46"/>
    </w:p>
    <w:p w14:paraId="157E8414" w14:textId="77777777" w:rsidR="00A77B3E" w:rsidRPr="009201B2" w:rsidRDefault="00003C2A">
      <w:pPr>
        <w:pStyle w:val="Antrat4"/>
        <w:spacing w:before="100" w:after="0"/>
        <w:rPr>
          <w:b w:val="0"/>
          <w:color w:val="000000"/>
          <w:sz w:val="24"/>
          <w:lang w:val="lt-LT"/>
        </w:rPr>
      </w:pPr>
      <w:bookmarkStart w:id="47" w:name="_Toc256000103"/>
      <w:r w:rsidRPr="009201B2">
        <w:rPr>
          <w:b w:val="0"/>
          <w:color w:val="000000"/>
          <w:sz w:val="24"/>
          <w:lang w:val="lt-LT"/>
        </w:rPr>
        <w:t>1. Duomenų, pagal kuriuos apskaičiuojamas standartinis fiksuotųjų vieneto įkainių, fiksuotųjų sumų ar fiksuotųjų normų dydis, šaltinis (kas pateikė, surinko ir užregistravo duomenis; kur duomenys saugomi, ataskaitinių laikotarpių pabaigos datos, patvirtinimas ir pan.):</w:t>
      </w:r>
      <w:bookmarkEnd w:id="47"/>
    </w:p>
    <w:p w14:paraId="319D9EBA" w14:textId="77777777" w:rsidR="00A77B3E" w:rsidRPr="009201B2" w:rsidRDefault="00A77B3E">
      <w:pPr>
        <w:spacing w:before="100"/>
        <w:rPr>
          <w:color w:val="000000"/>
          <w:sz w:val="12"/>
          <w:lang w:val="lt-LT"/>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35D32" w:rsidRPr="007F5D2D" w14:paraId="350A7BC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6DF0689" w14:textId="77777777" w:rsidR="00A77B3E" w:rsidRPr="009201B2" w:rsidRDefault="00A77B3E">
            <w:pPr>
              <w:spacing w:before="100"/>
              <w:rPr>
                <w:color w:val="000000"/>
                <w:lang w:val="lt-LT"/>
              </w:rPr>
            </w:pPr>
          </w:p>
        </w:tc>
      </w:tr>
    </w:tbl>
    <w:p w14:paraId="6E3A679D" w14:textId="77777777" w:rsidR="00A77B3E" w:rsidRPr="009201B2" w:rsidRDefault="00003C2A">
      <w:pPr>
        <w:pStyle w:val="Antrat4"/>
        <w:spacing w:before="100" w:after="0"/>
        <w:rPr>
          <w:b w:val="0"/>
          <w:color w:val="000000"/>
          <w:sz w:val="24"/>
          <w:lang w:val="lt-LT"/>
        </w:rPr>
      </w:pPr>
      <w:r w:rsidRPr="009201B2">
        <w:rPr>
          <w:b w:val="0"/>
          <w:color w:val="000000"/>
          <w:sz w:val="24"/>
          <w:lang w:val="lt-LT"/>
        </w:rPr>
        <w:br w:type="page"/>
      </w:r>
      <w:bookmarkStart w:id="48" w:name="_Toc256000104"/>
      <w:r w:rsidRPr="009201B2">
        <w:rPr>
          <w:b w:val="0"/>
          <w:color w:val="000000"/>
          <w:sz w:val="24"/>
          <w:lang w:val="lt-LT"/>
        </w:rPr>
        <w:lastRenderedPageBreak/>
        <w:t>2. Nurodykite, kodėl siūlomas metodas ir apskaičiavimo būdas remiantis BNR 94 straipsnio 2 dalimi tinka pagal veiksmo rūšį (-is):</w:t>
      </w:r>
      <w:bookmarkEnd w:id="48"/>
    </w:p>
    <w:p w14:paraId="51A5DD55" w14:textId="77777777" w:rsidR="00A77B3E" w:rsidRPr="009201B2" w:rsidRDefault="00A77B3E">
      <w:pPr>
        <w:spacing w:before="100"/>
        <w:rPr>
          <w:color w:val="000000"/>
          <w:sz w:val="12"/>
          <w:lang w:val="lt-LT"/>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35D32" w:rsidRPr="007F5D2D" w14:paraId="32BC6046"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328E3E9" w14:textId="77777777" w:rsidR="00A77B3E" w:rsidRPr="009201B2" w:rsidRDefault="00A77B3E">
            <w:pPr>
              <w:spacing w:before="100"/>
              <w:rPr>
                <w:color w:val="000000"/>
                <w:lang w:val="lt-LT"/>
              </w:rPr>
            </w:pPr>
          </w:p>
        </w:tc>
      </w:tr>
    </w:tbl>
    <w:p w14:paraId="7FC63637" w14:textId="77777777" w:rsidR="00A77B3E" w:rsidRPr="009201B2" w:rsidRDefault="00003C2A">
      <w:pPr>
        <w:pStyle w:val="Antrat4"/>
        <w:spacing w:before="100" w:after="0"/>
        <w:rPr>
          <w:b w:val="0"/>
          <w:color w:val="000000"/>
          <w:sz w:val="24"/>
          <w:lang w:val="lt-LT"/>
        </w:rPr>
      </w:pPr>
      <w:r w:rsidRPr="009201B2">
        <w:rPr>
          <w:b w:val="0"/>
          <w:color w:val="000000"/>
          <w:sz w:val="24"/>
          <w:lang w:val="lt-LT"/>
        </w:rPr>
        <w:br w:type="page"/>
      </w:r>
      <w:bookmarkStart w:id="49" w:name="_Toc256000105"/>
      <w:r w:rsidRPr="009201B2">
        <w:rPr>
          <w:b w:val="0"/>
          <w:color w:val="000000"/>
          <w:sz w:val="24"/>
          <w:lang w:val="lt-LT"/>
        </w:rPr>
        <w:lastRenderedPageBreak/>
        <w:t>3. Nurodykite, kaip atlikti skaičiavimai, ypač pateikite visas darytas prielaidas dėl kokybės ar kiekio. Kai aktualu, reikėtų naudotis statistiniais duomenimis ir lyginamaisiais standartais ir juos pateikti (jei jų buvo paprašyta) tokiu formatu, kurį Komisija galėtų naudoti.</w:t>
      </w:r>
      <w:bookmarkEnd w:id="49"/>
    </w:p>
    <w:p w14:paraId="721AE58C" w14:textId="77777777" w:rsidR="00A77B3E" w:rsidRPr="009201B2" w:rsidRDefault="00A77B3E">
      <w:pPr>
        <w:spacing w:before="100"/>
        <w:rPr>
          <w:color w:val="000000"/>
          <w:sz w:val="12"/>
          <w:lang w:val="lt-LT"/>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35D32" w:rsidRPr="007F5D2D" w14:paraId="4BECD52F"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CE51895" w14:textId="77777777" w:rsidR="00A77B3E" w:rsidRPr="009201B2" w:rsidRDefault="00A77B3E">
            <w:pPr>
              <w:spacing w:before="100"/>
              <w:rPr>
                <w:color w:val="000000"/>
                <w:lang w:val="lt-LT"/>
              </w:rPr>
            </w:pPr>
          </w:p>
        </w:tc>
      </w:tr>
    </w:tbl>
    <w:p w14:paraId="57BB49BC" w14:textId="77777777" w:rsidR="00A77B3E" w:rsidRPr="009201B2" w:rsidRDefault="00003C2A">
      <w:pPr>
        <w:pStyle w:val="Antrat4"/>
        <w:spacing w:before="100" w:after="0"/>
        <w:rPr>
          <w:b w:val="0"/>
          <w:color w:val="000000"/>
          <w:sz w:val="24"/>
          <w:lang w:val="lt-LT"/>
        </w:rPr>
      </w:pPr>
      <w:r w:rsidRPr="009201B2">
        <w:rPr>
          <w:b w:val="0"/>
          <w:color w:val="000000"/>
          <w:sz w:val="24"/>
          <w:lang w:val="lt-LT"/>
        </w:rPr>
        <w:br w:type="page"/>
      </w:r>
      <w:bookmarkStart w:id="50" w:name="_Toc256000106"/>
      <w:r w:rsidRPr="009201B2">
        <w:rPr>
          <w:b w:val="0"/>
          <w:color w:val="000000"/>
          <w:sz w:val="24"/>
          <w:lang w:val="lt-LT"/>
        </w:rPr>
        <w:lastRenderedPageBreak/>
        <w:t>4. Paaiškinkite, kad užtikrinote, kad į fiksuotojo vieneto įkainio, fiksuotosios sumos ar fiksuotosios normos skaičiavimą buvo įtrauktos tik tinkamos finansuoti išlaidos.</w:t>
      </w:r>
      <w:bookmarkEnd w:id="50"/>
    </w:p>
    <w:p w14:paraId="47088D15" w14:textId="77777777" w:rsidR="00A77B3E" w:rsidRPr="009201B2" w:rsidRDefault="00A77B3E">
      <w:pPr>
        <w:spacing w:before="100"/>
        <w:rPr>
          <w:color w:val="000000"/>
          <w:sz w:val="12"/>
          <w:lang w:val="lt-LT"/>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35D32" w:rsidRPr="007F5D2D" w14:paraId="1B866384"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E194C07" w14:textId="77777777" w:rsidR="00A77B3E" w:rsidRPr="009201B2" w:rsidRDefault="00A77B3E">
            <w:pPr>
              <w:spacing w:before="100"/>
              <w:rPr>
                <w:color w:val="000000"/>
                <w:lang w:val="lt-LT"/>
              </w:rPr>
            </w:pPr>
          </w:p>
        </w:tc>
      </w:tr>
    </w:tbl>
    <w:p w14:paraId="0DA4708F" w14:textId="77777777" w:rsidR="00A77B3E" w:rsidRPr="009201B2" w:rsidRDefault="00003C2A">
      <w:pPr>
        <w:pStyle w:val="Antrat4"/>
        <w:spacing w:before="100" w:after="0"/>
        <w:rPr>
          <w:b w:val="0"/>
          <w:color w:val="000000"/>
          <w:sz w:val="24"/>
          <w:lang w:val="lt-LT"/>
        </w:rPr>
      </w:pPr>
      <w:r w:rsidRPr="009201B2">
        <w:rPr>
          <w:b w:val="0"/>
          <w:color w:val="000000"/>
          <w:sz w:val="24"/>
          <w:lang w:val="lt-LT"/>
        </w:rPr>
        <w:br w:type="page"/>
      </w:r>
      <w:bookmarkStart w:id="51" w:name="_Toc256000107"/>
      <w:r w:rsidRPr="009201B2">
        <w:rPr>
          <w:b w:val="0"/>
          <w:color w:val="000000"/>
          <w:sz w:val="24"/>
          <w:lang w:val="lt-LT"/>
        </w:rPr>
        <w:lastRenderedPageBreak/>
        <w:t>5. Audito institucijos (-ų) atliktas skaičiavimo metodų ir sumų įvertinimas ir duomenų tvirtinimo, kokybės, rinkimo ir saugojimo užtikrinimo tvarka.</w:t>
      </w:r>
      <w:bookmarkEnd w:id="51"/>
    </w:p>
    <w:p w14:paraId="787EDADD" w14:textId="77777777" w:rsidR="00A77B3E" w:rsidRPr="009201B2" w:rsidRDefault="00A77B3E">
      <w:pPr>
        <w:spacing w:before="100"/>
        <w:rPr>
          <w:color w:val="000000"/>
          <w:sz w:val="12"/>
          <w:lang w:val="lt-LT"/>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535D32" w:rsidRPr="007F5D2D" w14:paraId="39FF92AE"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59F43FA" w14:textId="77777777" w:rsidR="00A77B3E" w:rsidRPr="009201B2" w:rsidRDefault="00A77B3E">
            <w:pPr>
              <w:spacing w:before="100"/>
              <w:rPr>
                <w:color w:val="000000"/>
                <w:lang w:val="lt-LT"/>
              </w:rPr>
            </w:pPr>
          </w:p>
        </w:tc>
      </w:tr>
    </w:tbl>
    <w:p w14:paraId="1CAAF448" w14:textId="77777777" w:rsidR="00A77B3E" w:rsidRPr="009201B2" w:rsidRDefault="00A77B3E">
      <w:pPr>
        <w:spacing w:before="100"/>
        <w:rPr>
          <w:color w:val="000000"/>
          <w:lang w:val="lt-LT"/>
        </w:rPr>
        <w:sectPr w:rsidR="00A77B3E" w:rsidRPr="009201B2">
          <w:headerReference w:type="even" r:id="rId85"/>
          <w:headerReference w:type="default" r:id="rId86"/>
          <w:footerReference w:type="even" r:id="rId87"/>
          <w:footerReference w:type="default" r:id="rId88"/>
          <w:headerReference w:type="first" r:id="rId89"/>
          <w:footerReference w:type="first" r:id="rId90"/>
          <w:pgSz w:w="11906" w:h="16838"/>
          <w:pgMar w:top="720" w:right="936" w:bottom="864" w:left="720" w:header="0" w:footer="72" w:gutter="0"/>
          <w:cols w:space="720"/>
          <w:noEndnote/>
          <w:docGrid w:linePitch="360"/>
        </w:sectPr>
      </w:pPr>
    </w:p>
    <w:p w14:paraId="656A242D" w14:textId="77777777" w:rsidR="00A77B3E" w:rsidRPr="009201B2" w:rsidRDefault="00003C2A">
      <w:pPr>
        <w:pStyle w:val="Antrat1"/>
        <w:spacing w:before="100" w:after="0"/>
        <w:rPr>
          <w:rFonts w:ascii="Times New Roman" w:hAnsi="Times New Roman" w:cs="Times New Roman"/>
          <w:b w:val="0"/>
          <w:color w:val="000000"/>
          <w:sz w:val="24"/>
          <w:lang w:val="lt-LT"/>
        </w:rPr>
      </w:pPr>
      <w:bookmarkStart w:id="52" w:name="_Toc256000108"/>
      <w:r w:rsidRPr="009201B2">
        <w:rPr>
          <w:rFonts w:ascii="Times New Roman" w:hAnsi="Times New Roman" w:cs="Times New Roman"/>
          <w:b w:val="0"/>
          <w:color w:val="000000"/>
          <w:sz w:val="24"/>
          <w:lang w:val="lt-LT"/>
        </w:rPr>
        <w:lastRenderedPageBreak/>
        <w:t>2 priedėlis. Sąjungos įnašas su išlaidomis nesiejamo finansavimo pagrindu</w:t>
      </w:r>
      <w:bookmarkEnd w:id="52"/>
    </w:p>
    <w:p w14:paraId="33FAD121" w14:textId="77777777" w:rsidR="00A77B3E" w:rsidRPr="009201B2" w:rsidRDefault="00003C2A">
      <w:pPr>
        <w:pStyle w:val="Antrat2"/>
        <w:spacing w:before="100" w:after="0"/>
        <w:rPr>
          <w:rFonts w:ascii="Times New Roman" w:hAnsi="Times New Roman" w:cs="Times New Roman"/>
          <w:b w:val="0"/>
          <w:i w:val="0"/>
          <w:color w:val="000000"/>
          <w:sz w:val="24"/>
          <w:lang w:val="lt-LT"/>
        </w:rPr>
      </w:pPr>
      <w:bookmarkStart w:id="53" w:name="_Toc256000109"/>
      <w:r w:rsidRPr="009201B2">
        <w:rPr>
          <w:rFonts w:ascii="Times New Roman" w:hAnsi="Times New Roman" w:cs="Times New Roman"/>
          <w:b w:val="0"/>
          <w:i w:val="0"/>
          <w:color w:val="000000"/>
          <w:sz w:val="24"/>
          <w:lang w:val="lt-LT"/>
        </w:rPr>
        <w:t>A. Pagrindinių elementų santrauka</w:t>
      </w:r>
      <w:bookmarkEnd w:id="53"/>
    </w:p>
    <w:p w14:paraId="38359F5A" w14:textId="77777777" w:rsidR="00A77B3E" w:rsidRPr="009201B2" w:rsidRDefault="00A77B3E">
      <w:pPr>
        <w:spacing w:before="100"/>
        <w:rPr>
          <w:color w:val="000000"/>
          <w:sz w:val="1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69"/>
        <w:gridCol w:w="1255"/>
        <w:gridCol w:w="1570"/>
        <w:gridCol w:w="1883"/>
        <w:gridCol w:w="1570"/>
        <w:gridCol w:w="1570"/>
        <w:gridCol w:w="1570"/>
        <w:gridCol w:w="2093"/>
      </w:tblGrid>
      <w:tr w:rsidR="00535D32" w:rsidRPr="009201B2" w14:paraId="767FF165"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2F1AA8" w14:textId="77777777" w:rsidR="00A77B3E" w:rsidRPr="009201B2" w:rsidRDefault="00003C2A">
            <w:pPr>
              <w:spacing w:before="100"/>
              <w:jc w:val="center"/>
              <w:rPr>
                <w:color w:val="000000"/>
                <w:sz w:val="12"/>
                <w:lang w:val="lt-LT"/>
              </w:rPr>
            </w:pPr>
            <w:r w:rsidRPr="009201B2">
              <w:rPr>
                <w:color w:val="000000"/>
                <w:sz w:val="12"/>
                <w:lang w:val="lt-LT"/>
              </w:rPr>
              <w:t>Konkretus tikslas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1E8C81" w14:textId="77777777" w:rsidR="00A77B3E" w:rsidRPr="009201B2" w:rsidRDefault="00003C2A">
            <w:pPr>
              <w:spacing w:before="100"/>
              <w:jc w:val="center"/>
              <w:rPr>
                <w:color w:val="000000"/>
                <w:sz w:val="12"/>
                <w:lang w:val="lt-LT"/>
              </w:rPr>
            </w:pPr>
            <w:r w:rsidRPr="009201B2">
              <w:rPr>
                <w:color w:val="000000"/>
                <w:sz w:val="12"/>
                <w:lang w:val="lt-LT"/>
              </w:rPr>
              <w:t>Suma, įtraukta į finansavimą, nesusijusį su išlaidomis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00F2E0" w14:textId="77777777" w:rsidR="00A77B3E" w:rsidRPr="009201B2" w:rsidRDefault="00003C2A">
            <w:pPr>
              <w:spacing w:before="100"/>
              <w:jc w:val="center"/>
              <w:rPr>
                <w:color w:val="000000"/>
                <w:sz w:val="12"/>
                <w:lang w:val="lt-LT"/>
              </w:rPr>
            </w:pPr>
            <w:r w:rsidRPr="009201B2">
              <w:rPr>
                <w:color w:val="000000"/>
                <w:sz w:val="12"/>
                <w:lang w:val="lt-LT"/>
              </w:rPr>
              <w:t>Veiksmo rūšis (-ys)</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25630" w14:textId="77777777" w:rsidR="00A77B3E" w:rsidRPr="009201B2" w:rsidRDefault="00003C2A">
            <w:pPr>
              <w:spacing w:before="100"/>
              <w:jc w:val="center"/>
              <w:rPr>
                <w:color w:val="000000"/>
                <w:sz w:val="12"/>
                <w:lang w:val="lt-LT"/>
              </w:rPr>
            </w:pPr>
            <w:r w:rsidRPr="009201B2">
              <w:rPr>
                <w:color w:val="000000"/>
                <w:sz w:val="12"/>
                <w:lang w:val="lt-LT"/>
              </w:rPr>
              <w:t>Įvykdytinos sąlygos / pasiektini rezultatai, kuriais remdamasi Komisija atlygina išlaidas</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614EF9" w14:textId="77777777" w:rsidR="00A77B3E" w:rsidRPr="009201B2" w:rsidRDefault="00003C2A">
            <w:pPr>
              <w:spacing w:before="100"/>
              <w:jc w:val="center"/>
              <w:rPr>
                <w:color w:val="000000"/>
                <w:sz w:val="12"/>
                <w:lang w:val="lt-LT"/>
              </w:rPr>
            </w:pPr>
            <w:r w:rsidRPr="009201B2">
              <w:rPr>
                <w:color w:val="000000"/>
                <w:sz w:val="12"/>
                <w:lang w:val="lt-LT"/>
              </w:rPr>
              <w:t>Rodikliai</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1F70A3" w14:textId="77777777" w:rsidR="00A77B3E" w:rsidRPr="009201B2" w:rsidRDefault="00003C2A">
            <w:pPr>
              <w:spacing w:before="100"/>
              <w:jc w:val="center"/>
              <w:rPr>
                <w:color w:val="000000"/>
                <w:sz w:val="12"/>
                <w:lang w:val="lt-LT"/>
              </w:rPr>
            </w:pPr>
            <w:r w:rsidRPr="009201B2">
              <w:rPr>
                <w:color w:val="000000"/>
                <w:sz w:val="12"/>
                <w:lang w:val="lt-LT"/>
              </w:rPr>
              <w:t>Matavimo vienetas, skirtas įvykdytinoms sąlygoms / pasiektiniems rezultatams, kuriais remdamasi Komisija atlygina išlaidas</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0F050" w14:textId="77777777" w:rsidR="00A77B3E" w:rsidRPr="009201B2" w:rsidRDefault="00003C2A">
            <w:pPr>
              <w:spacing w:before="100"/>
              <w:jc w:val="center"/>
              <w:rPr>
                <w:color w:val="000000"/>
                <w:sz w:val="12"/>
                <w:lang w:val="lt-LT"/>
              </w:rPr>
            </w:pPr>
            <w:r w:rsidRPr="009201B2">
              <w:rPr>
                <w:color w:val="000000"/>
                <w:sz w:val="12"/>
                <w:lang w:val="lt-LT"/>
              </w:rPr>
              <w:t>Numatomas atlyginimo rūšies metodas, naudojamas atlyginti paramos gavėjui (-ams)</w:t>
            </w:r>
          </w:p>
        </w:tc>
      </w:tr>
      <w:tr w:rsidR="00535D32" w:rsidRPr="009201B2" w14:paraId="1C3744D6"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CA2B5" w14:textId="77777777" w:rsidR="00A77B3E" w:rsidRPr="009201B2" w:rsidRDefault="00A77B3E">
            <w:pPr>
              <w:spacing w:before="100"/>
              <w:jc w:val="center"/>
              <w:rPr>
                <w:color w:val="000000"/>
                <w:sz w:val="12"/>
                <w:lang w:val="lt-LT"/>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DACCB2" w14:textId="77777777" w:rsidR="00A77B3E" w:rsidRPr="009201B2" w:rsidRDefault="00A77B3E">
            <w:pPr>
              <w:spacing w:before="100"/>
              <w:jc w:val="center"/>
              <w:rPr>
                <w:color w:val="000000"/>
                <w:sz w:val="12"/>
                <w:lang w:val="lt-LT"/>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BCBC9" w14:textId="77777777" w:rsidR="00A77B3E" w:rsidRPr="009201B2" w:rsidRDefault="00003C2A">
            <w:pPr>
              <w:spacing w:before="100"/>
              <w:jc w:val="center"/>
              <w:rPr>
                <w:color w:val="000000"/>
                <w:sz w:val="12"/>
                <w:lang w:val="lt-LT"/>
              </w:rPr>
            </w:pPr>
            <w:r w:rsidRPr="009201B2">
              <w:rPr>
                <w:color w:val="000000"/>
                <w:sz w:val="12"/>
                <w:lang w:val="lt-LT"/>
              </w:rPr>
              <w:t>Kodas(1)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F5D96D" w14:textId="77777777" w:rsidR="00A77B3E" w:rsidRPr="009201B2" w:rsidRDefault="00003C2A">
            <w:pPr>
              <w:spacing w:before="100"/>
              <w:jc w:val="center"/>
              <w:rPr>
                <w:color w:val="000000"/>
                <w:sz w:val="12"/>
                <w:lang w:val="lt-LT"/>
              </w:rPr>
            </w:pPr>
            <w:r w:rsidRPr="009201B2">
              <w:rPr>
                <w:color w:val="000000"/>
                <w:sz w:val="12"/>
                <w:lang w:val="lt-LT"/>
              </w:rPr>
              <w:t>Aprašas</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30ABB" w14:textId="77777777" w:rsidR="00A77B3E" w:rsidRPr="009201B2" w:rsidRDefault="00A77B3E">
            <w:pPr>
              <w:spacing w:before="100"/>
              <w:jc w:val="center"/>
              <w:rPr>
                <w:color w:val="000000"/>
                <w:sz w:val="12"/>
                <w:lang w:val="lt-LT"/>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F837F" w14:textId="77777777" w:rsidR="00A77B3E" w:rsidRPr="009201B2" w:rsidRDefault="00003C2A">
            <w:pPr>
              <w:spacing w:before="100"/>
              <w:jc w:val="center"/>
              <w:rPr>
                <w:color w:val="000000"/>
                <w:sz w:val="12"/>
                <w:lang w:val="lt-LT"/>
              </w:rPr>
            </w:pPr>
            <w:r w:rsidRPr="009201B2">
              <w:rPr>
                <w:color w:val="000000"/>
                <w:sz w:val="12"/>
                <w:lang w:val="lt-LT"/>
              </w:rPr>
              <w:t>Kodas(2)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477A1" w14:textId="77777777" w:rsidR="00A77B3E" w:rsidRPr="009201B2" w:rsidRDefault="00003C2A">
            <w:pPr>
              <w:spacing w:before="100"/>
              <w:jc w:val="center"/>
              <w:rPr>
                <w:color w:val="000000"/>
                <w:sz w:val="12"/>
                <w:lang w:val="lt-LT"/>
              </w:rPr>
            </w:pPr>
            <w:r w:rsidRPr="009201B2">
              <w:rPr>
                <w:color w:val="000000"/>
                <w:sz w:val="12"/>
                <w:lang w:val="lt-LT"/>
              </w:rPr>
              <w:t>Aprašas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2E22D3" w14:textId="77777777" w:rsidR="00A77B3E" w:rsidRPr="009201B2" w:rsidRDefault="00A77B3E">
            <w:pPr>
              <w:spacing w:before="100"/>
              <w:jc w:val="center"/>
              <w:rPr>
                <w:color w:val="000000"/>
                <w:sz w:val="12"/>
                <w:lang w:val="lt-LT"/>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AA922" w14:textId="77777777" w:rsidR="00A77B3E" w:rsidRPr="009201B2" w:rsidRDefault="00A77B3E">
            <w:pPr>
              <w:spacing w:before="100"/>
              <w:jc w:val="center"/>
              <w:rPr>
                <w:color w:val="000000"/>
                <w:sz w:val="12"/>
                <w:lang w:val="lt-LT"/>
              </w:rPr>
            </w:pPr>
          </w:p>
        </w:tc>
      </w:tr>
    </w:tbl>
    <w:p w14:paraId="0F588429" w14:textId="77777777" w:rsidR="00A77B3E" w:rsidRPr="009201B2" w:rsidRDefault="00003C2A">
      <w:pPr>
        <w:spacing w:before="100"/>
        <w:rPr>
          <w:color w:val="000000"/>
          <w:sz w:val="12"/>
          <w:lang w:val="lt-LT"/>
        </w:rPr>
      </w:pPr>
      <w:r w:rsidRPr="009201B2">
        <w:rPr>
          <w:color w:val="000000"/>
          <w:sz w:val="12"/>
          <w:lang w:val="lt-LT"/>
        </w:rPr>
        <w:t>(1) Tai kodas, nurodytas PMIF, SVVP ir VSF reglamentų VI priede.</w:t>
      </w:r>
    </w:p>
    <w:p w14:paraId="51D2D822" w14:textId="77777777" w:rsidR="00A77B3E" w:rsidRPr="009201B2" w:rsidRDefault="00003C2A" w:rsidP="00EB7BB2">
      <w:pPr>
        <w:spacing w:before="100"/>
        <w:rPr>
          <w:color w:val="000000"/>
          <w:sz w:val="16"/>
          <w:lang w:val="lt-LT"/>
        </w:rPr>
      </w:pPr>
      <w:r w:rsidRPr="009201B2">
        <w:rPr>
          <w:color w:val="000000"/>
          <w:sz w:val="12"/>
          <w:lang w:val="lt-LT"/>
        </w:rPr>
        <w:t>(2) Tai bendrojo rodiklio kodas, jei taikytina.</w:t>
      </w:r>
    </w:p>
    <w:sectPr w:rsidR="00A77B3E" w:rsidRPr="009201B2">
      <w:headerReference w:type="even" r:id="rId91"/>
      <w:headerReference w:type="default" r:id="rId92"/>
      <w:footerReference w:type="even" r:id="rId93"/>
      <w:footerReference w:type="default" r:id="rId94"/>
      <w:headerReference w:type="first" r:id="rId95"/>
      <w:footerReference w:type="first" r:id="rId96"/>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6396" w14:textId="77777777" w:rsidR="00BE352F" w:rsidRDefault="00BE352F">
      <w:r>
        <w:separator/>
      </w:r>
    </w:p>
  </w:endnote>
  <w:endnote w:type="continuationSeparator" w:id="0">
    <w:p w14:paraId="53FC361A" w14:textId="77777777" w:rsidR="00BE352F" w:rsidRDefault="00BE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26F3" w14:textId="77777777" w:rsidR="00BE352F" w:rsidRDefault="00BE352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8A9A" w14:textId="77777777" w:rsidR="00BE352F" w:rsidRDefault="00BE352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4BEFA9FE" w14:textId="77777777">
      <w:trPr>
        <w:trHeight w:val="160"/>
      </w:trPr>
      <w:tc>
        <w:tcPr>
          <w:tcW w:w="0" w:type="auto"/>
          <w:tcMar>
            <w:top w:w="0" w:type="dxa"/>
            <w:left w:w="60" w:type="dxa"/>
            <w:bottom w:w="80" w:type="dxa"/>
            <w:right w:w="60" w:type="dxa"/>
          </w:tcMar>
        </w:tcPr>
        <w:p w14:paraId="25FFD6C3"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62DEB3C2"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15</w:t>
          </w:r>
          <w:r>
            <w:rPr>
              <w:b/>
              <w:color w:val="000000"/>
            </w:rPr>
            <w:fldChar w:fldCharType="end"/>
          </w:r>
        </w:p>
      </w:tc>
      <w:tc>
        <w:tcPr>
          <w:tcW w:w="0" w:type="auto"/>
          <w:tcMar>
            <w:top w:w="0" w:type="dxa"/>
            <w:left w:w="60" w:type="dxa"/>
            <w:bottom w:w="80" w:type="dxa"/>
            <w:right w:w="60" w:type="dxa"/>
          </w:tcMar>
        </w:tcPr>
        <w:p w14:paraId="14A2FDCF" w14:textId="77777777" w:rsidR="00BE352F" w:rsidRDefault="00BE352F">
          <w:pPr>
            <w:jc w:val="right"/>
            <w:rPr>
              <w:b/>
              <w:color w:val="000000"/>
              <w:sz w:val="32"/>
            </w:rPr>
          </w:pPr>
          <w:r>
            <w:rPr>
              <w:b/>
              <w:color w:val="000000"/>
              <w:sz w:val="32"/>
            </w:rPr>
            <w:t>LT</w:t>
          </w:r>
        </w:p>
      </w:tc>
    </w:tr>
  </w:tbl>
  <w:p w14:paraId="44594D2A" w14:textId="77777777" w:rsidR="00BE352F" w:rsidRDefault="00BE352F">
    <w:pPr>
      <w:rPr>
        <w:b/>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B0C7" w14:textId="77777777" w:rsidR="00BE352F" w:rsidRDefault="00BE352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3702" w14:textId="77777777" w:rsidR="00BE352F" w:rsidRDefault="00BE352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56"/>
      <w:gridCol w:w="2538"/>
      <w:gridCol w:w="3856"/>
    </w:tblGrid>
    <w:tr w:rsidR="00BE352F" w14:paraId="4FE6E15E" w14:textId="77777777">
      <w:tc>
        <w:tcPr>
          <w:tcW w:w="0" w:type="auto"/>
          <w:tcMar>
            <w:top w:w="0" w:type="dxa"/>
            <w:left w:w="60" w:type="dxa"/>
            <w:bottom w:w="80" w:type="dxa"/>
            <w:right w:w="60" w:type="dxa"/>
          </w:tcMar>
        </w:tcPr>
        <w:p w14:paraId="37A779B7"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2EF5419E"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17</w:t>
          </w:r>
          <w:r>
            <w:rPr>
              <w:b/>
              <w:color w:val="000000"/>
            </w:rPr>
            <w:fldChar w:fldCharType="end"/>
          </w:r>
        </w:p>
      </w:tc>
      <w:tc>
        <w:tcPr>
          <w:tcW w:w="0" w:type="auto"/>
          <w:tcMar>
            <w:top w:w="0" w:type="dxa"/>
            <w:left w:w="60" w:type="dxa"/>
            <w:bottom w:w="80" w:type="dxa"/>
            <w:right w:w="60" w:type="dxa"/>
          </w:tcMar>
        </w:tcPr>
        <w:p w14:paraId="11E3169B" w14:textId="77777777" w:rsidR="00BE352F" w:rsidRDefault="00BE352F">
          <w:pPr>
            <w:jc w:val="right"/>
            <w:rPr>
              <w:b/>
              <w:color w:val="000000"/>
              <w:sz w:val="32"/>
            </w:rPr>
          </w:pPr>
          <w:r>
            <w:rPr>
              <w:b/>
              <w:color w:val="000000"/>
              <w:sz w:val="32"/>
            </w:rPr>
            <w:t>LT</w:t>
          </w:r>
        </w:p>
      </w:tc>
    </w:tr>
  </w:tbl>
  <w:p w14:paraId="6760C1AA" w14:textId="77777777" w:rsidR="00BE352F" w:rsidRDefault="00BE352F">
    <w:pPr>
      <w:rPr>
        <w:b/>
        <w:color w:val="00000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8617" w14:textId="77777777" w:rsidR="00BE352F" w:rsidRDefault="00BE352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1565" w14:textId="77777777" w:rsidR="00BE352F" w:rsidRDefault="00BE352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2B6E8650" w14:textId="77777777">
      <w:tc>
        <w:tcPr>
          <w:tcW w:w="0" w:type="auto"/>
          <w:tcMar>
            <w:top w:w="0" w:type="dxa"/>
            <w:left w:w="60" w:type="dxa"/>
            <w:bottom w:w="80" w:type="dxa"/>
            <w:right w:w="60" w:type="dxa"/>
          </w:tcMar>
        </w:tcPr>
        <w:p w14:paraId="1DE65B2D"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294489E4"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22</w:t>
          </w:r>
          <w:r>
            <w:rPr>
              <w:b/>
              <w:color w:val="000000"/>
            </w:rPr>
            <w:fldChar w:fldCharType="end"/>
          </w:r>
        </w:p>
      </w:tc>
      <w:tc>
        <w:tcPr>
          <w:tcW w:w="0" w:type="auto"/>
          <w:tcMar>
            <w:top w:w="0" w:type="dxa"/>
            <w:left w:w="60" w:type="dxa"/>
            <w:bottom w:w="80" w:type="dxa"/>
            <w:right w:w="60" w:type="dxa"/>
          </w:tcMar>
        </w:tcPr>
        <w:p w14:paraId="456AC0AD" w14:textId="77777777" w:rsidR="00BE352F" w:rsidRDefault="00BE352F">
          <w:pPr>
            <w:jc w:val="right"/>
            <w:rPr>
              <w:b/>
              <w:color w:val="000000"/>
              <w:sz w:val="32"/>
            </w:rPr>
          </w:pPr>
          <w:r>
            <w:rPr>
              <w:b/>
              <w:color w:val="000000"/>
              <w:sz w:val="32"/>
            </w:rPr>
            <w:t>LT</w:t>
          </w:r>
        </w:p>
      </w:tc>
    </w:tr>
  </w:tbl>
  <w:p w14:paraId="4A238041" w14:textId="77777777" w:rsidR="00BE352F" w:rsidRDefault="00BE352F">
    <w:pPr>
      <w:rPr>
        <w:b/>
        <w:color w:val="00000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976A" w14:textId="77777777" w:rsidR="00BE352F" w:rsidRDefault="00BE352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8435" w14:textId="77777777" w:rsidR="00BE352F" w:rsidRDefault="00BE35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083"/>
      <w:gridCol w:w="2084"/>
      <w:gridCol w:w="4083"/>
    </w:tblGrid>
    <w:tr w:rsidR="00BE352F" w14:paraId="135D0EC7" w14:textId="77777777">
      <w:trPr>
        <w:trHeight w:val="240"/>
      </w:trPr>
      <w:tc>
        <w:tcPr>
          <w:tcW w:w="0" w:type="auto"/>
          <w:tcMar>
            <w:left w:w="100" w:type="dxa"/>
            <w:right w:w="100" w:type="dxa"/>
          </w:tcMar>
        </w:tcPr>
        <w:p w14:paraId="0659F9AB" w14:textId="77777777" w:rsidR="00BE352F" w:rsidRDefault="00BE352F">
          <w:pPr>
            <w:rPr>
              <w:b/>
              <w:color w:val="000000"/>
            </w:rPr>
          </w:pPr>
          <w:r>
            <w:rPr>
              <w:b/>
              <w:color w:val="000000"/>
              <w:sz w:val="32"/>
            </w:rPr>
            <w:t>LT</w:t>
          </w:r>
        </w:p>
      </w:tc>
      <w:tc>
        <w:tcPr>
          <w:tcW w:w="0" w:type="auto"/>
          <w:tcMar>
            <w:left w:w="100" w:type="dxa"/>
            <w:right w:w="100" w:type="dxa"/>
          </w:tcMar>
        </w:tcPr>
        <w:p w14:paraId="44CBD1AA"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7</w:t>
          </w:r>
          <w:r>
            <w:rPr>
              <w:b/>
              <w:color w:val="000000"/>
            </w:rPr>
            <w:fldChar w:fldCharType="end"/>
          </w:r>
        </w:p>
      </w:tc>
      <w:tc>
        <w:tcPr>
          <w:tcW w:w="0" w:type="auto"/>
          <w:tcMar>
            <w:left w:w="100" w:type="dxa"/>
            <w:right w:w="100" w:type="dxa"/>
          </w:tcMar>
        </w:tcPr>
        <w:p w14:paraId="5A37379B" w14:textId="77777777" w:rsidR="00BE352F" w:rsidRDefault="00BE352F">
          <w:pPr>
            <w:jc w:val="right"/>
            <w:rPr>
              <w:b/>
              <w:color w:val="000000"/>
              <w:sz w:val="32"/>
            </w:rPr>
          </w:pPr>
          <w:r>
            <w:rPr>
              <w:b/>
              <w:color w:val="000000"/>
              <w:sz w:val="32"/>
            </w:rPr>
            <w:t>LT</w:t>
          </w:r>
        </w:p>
      </w:tc>
    </w:tr>
  </w:tbl>
  <w:p w14:paraId="740C971F" w14:textId="77777777" w:rsidR="00BE352F" w:rsidRDefault="00BE352F">
    <w:pPr>
      <w:rPr>
        <w:b/>
        <w:color w:val="00000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56"/>
      <w:gridCol w:w="2538"/>
      <w:gridCol w:w="3856"/>
    </w:tblGrid>
    <w:tr w:rsidR="00BE352F" w14:paraId="6B160F01" w14:textId="77777777">
      <w:tc>
        <w:tcPr>
          <w:tcW w:w="0" w:type="auto"/>
          <w:tcMar>
            <w:top w:w="0" w:type="dxa"/>
            <w:left w:w="60" w:type="dxa"/>
            <w:bottom w:w="80" w:type="dxa"/>
            <w:right w:w="60" w:type="dxa"/>
          </w:tcMar>
        </w:tcPr>
        <w:p w14:paraId="79AA4575"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14379F2E"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26</w:t>
          </w:r>
          <w:r>
            <w:rPr>
              <w:b/>
              <w:color w:val="000000"/>
            </w:rPr>
            <w:fldChar w:fldCharType="end"/>
          </w:r>
        </w:p>
      </w:tc>
      <w:tc>
        <w:tcPr>
          <w:tcW w:w="0" w:type="auto"/>
          <w:tcMar>
            <w:top w:w="0" w:type="dxa"/>
            <w:left w:w="60" w:type="dxa"/>
            <w:bottom w:w="80" w:type="dxa"/>
            <w:right w:w="60" w:type="dxa"/>
          </w:tcMar>
        </w:tcPr>
        <w:p w14:paraId="34E25CFC" w14:textId="77777777" w:rsidR="00BE352F" w:rsidRDefault="00BE352F">
          <w:pPr>
            <w:jc w:val="right"/>
            <w:rPr>
              <w:b/>
              <w:color w:val="000000"/>
              <w:sz w:val="32"/>
            </w:rPr>
          </w:pPr>
          <w:r>
            <w:rPr>
              <w:b/>
              <w:color w:val="000000"/>
              <w:sz w:val="32"/>
            </w:rPr>
            <w:t>LT</w:t>
          </w:r>
        </w:p>
      </w:tc>
    </w:tr>
  </w:tbl>
  <w:p w14:paraId="484A82F0" w14:textId="77777777" w:rsidR="00BE352F" w:rsidRDefault="00BE352F">
    <w:pPr>
      <w:rPr>
        <w:b/>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43EA" w14:textId="77777777" w:rsidR="00BE352F" w:rsidRDefault="00BE352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915C" w14:textId="77777777" w:rsidR="00BE352F" w:rsidRDefault="00BE352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3206AE81" w14:textId="77777777">
      <w:tc>
        <w:tcPr>
          <w:tcW w:w="0" w:type="auto"/>
          <w:tcMar>
            <w:top w:w="0" w:type="dxa"/>
            <w:left w:w="60" w:type="dxa"/>
            <w:bottom w:w="80" w:type="dxa"/>
            <w:right w:w="60" w:type="dxa"/>
          </w:tcMar>
        </w:tcPr>
        <w:p w14:paraId="7D186651"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2C1A3BAC"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29</w:t>
          </w:r>
          <w:r>
            <w:rPr>
              <w:b/>
              <w:color w:val="000000"/>
            </w:rPr>
            <w:fldChar w:fldCharType="end"/>
          </w:r>
        </w:p>
      </w:tc>
      <w:tc>
        <w:tcPr>
          <w:tcW w:w="0" w:type="auto"/>
          <w:tcMar>
            <w:top w:w="0" w:type="dxa"/>
            <w:left w:w="60" w:type="dxa"/>
            <w:bottom w:w="80" w:type="dxa"/>
            <w:right w:w="60" w:type="dxa"/>
          </w:tcMar>
        </w:tcPr>
        <w:p w14:paraId="056FEDE9" w14:textId="77777777" w:rsidR="00BE352F" w:rsidRDefault="00BE352F">
          <w:pPr>
            <w:jc w:val="right"/>
            <w:rPr>
              <w:b/>
              <w:color w:val="000000"/>
              <w:sz w:val="32"/>
            </w:rPr>
          </w:pPr>
          <w:r>
            <w:rPr>
              <w:b/>
              <w:color w:val="000000"/>
              <w:sz w:val="32"/>
            </w:rPr>
            <w:t>LT</w:t>
          </w:r>
        </w:p>
      </w:tc>
    </w:tr>
  </w:tbl>
  <w:p w14:paraId="456160CE" w14:textId="77777777" w:rsidR="00BE352F" w:rsidRDefault="00BE352F">
    <w:pPr>
      <w:rPr>
        <w:b/>
        <w:color w:val="00000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3276" w14:textId="77777777" w:rsidR="00BE352F" w:rsidRDefault="00BE352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0F15" w14:textId="77777777" w:rsidR="00BE352F" w:rsidRDefault="00BE352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56"/>
      <w:gridCol w:w="2538"/>
      <w:gridCol w:w="3856"/>
    </w:tblGrid>
    <w:tr w:rsidR="00BE352F" w14:paraId="55082BD0" w14:textId="77777777">
      <w:tc>
        <w:tcPr>
          <w:tcW w:w="0" w:type="auto"/>
          <w:tcMar>
            <w:top w:w="0" w:type="dxa"/>
            <w:left w:w="60" w:type="dxa"/>
            <w:bottom w:w="80" w:type="dxa"/>
            <w:right w:w="60" w:type="dxa"/>
          </w:tcMar>
        </w:tcPr>
        <w:p w14:paraId="369BC230"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10757146"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31</w:t>
          </w:r>
          <w:r>
            <w:rPr>
              <w:b/>
              <w:color w:val="000000"/>
            </w:rPr>
            <w:fldChar w:fldCharType="end"/>
          </w:r>
        </w:p>
      </w:tc>
      <w:tc>
        <w:tcPr>
          <w:tcW w:w="0" w:type="auto"/>
          <w:tcMar>
            <w:top w:w="0" w:type="dxa"/>
            <w:left w:w="60" w:type="dxa"/>
            <w:bottom w:w="80" w:type="dxa"/>
            <w:right w:w="60" w:type="dxa"/>
          </w:tcMar>
        </w:tcPr>
        <w:p w14:paraId="04874900" w14:textId="77777777" w:rsidR="00BE352F" w:rsidRDefault="00BE352F">
          <w:pPr>
            <w:jc w:val="right"/>
            <w:rPr>
              <w:b/>
              <w:color w:val="000000"/>
              <w:sz w:val="32"/>
            </w:rPr>
          </w:pPr>
          <w:r>
            <w:rPr>
              <w:b/>
              <w:color w:val="000000"/>
              <w:sz w:val="32"/>
            </w:rPr>
            <w:t>LT</w:t>
          </w:r>
        </w:p>
      </w:tc>
    </w:tr>
  </w:tbl>
  <w:p w14:paraId="3585A7D9" w14:textId="77777777" w:rsidR="00BE352F" w:rsidRDefault="00BE352F">
    <w:pPr>
      <w:rPr>
        <w:b/>
        <w:color w:val="00000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AAC4" w14:textId="77777777" w:rsidR="00BE352F" w:rsidRDefault="00BE352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590C" w14:textId="77777777" w:rsidR="00BE352F" w:rsidRDefault="00BE352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7482E140" w14:textId="77777777">
      <w:tc>
        <w:tcPr>
          <w:tcW w:w="0" w:type="auto"/>
          <w:tcMar>
            <w:top w:w="0" w:type="dxa"/>
            <w:left w:w="60" w:type="dxa"/>
            <w:bottom w:w="80" w:type="dxa"/>
            <w:right w:w="60" w:type="dxa"/>
          </w:tcMar>
        </w:tcPr>
        <w:p w14:paraId="42319294"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02D0FF54"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35</w:t>
          </w:r>
          <w:r>
            <w:rPr>
              <w:b/>
              <w:color w:val="000000"/>
            </w:rPr>
            <w:fldChar w:fldCharType="end"/>
          </w:r>
        </w:p>
      </w:tc>
      <w:tc>
        <w:tcPr>
          <w:tcW w:w="0" w:type="auto"/>
          <w:tcMar>
            <w:top w:w="0" w:type="dxa"/>
            <w:left w:w="60" w:type="dxa"/>
            <w:bottom w:w="80" w:type="dxa"/>
            <w:right w:w="60" w:type="dxa"/>
          </w:tcMar>
        </w:tcPr>
        <w:p w14:paraId="26DFD88A" w14:textId="77777777" w:rsidR="00BE352F" w:rsidRDefault="00BE352F">
          <w:pPr>
            <w:jc w:val="right"/>
            <w:rPr>
              <w:b/>
              <w:color w:val="000000"/>
              <w:sz w:val="32"/>
            </w:rPr>
          </w:pPr>
          <w:r>
            <w:rPr>
              <w:b/>
              <w:color w:val="000000"/>
              <w:sz w:val="32"/>
            </w:rPr>
            <w:t>LT</w:t>
          </w:r>
        </w:p>
      </w:tc>
    </w:tr>
  </w:tbl>
  <w:p w14:paraId="5C085127" w14:textId="77777777" w:rsidR="00BE352F" w:rsidRDefault="00BE352F">
    <w:pPr>
      <w:rPr>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94A7" w14:textId="77777777" w:rsidR="00BE352F" w:rsidRDefault="00BE352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3395F" w14:textId="77777777" w:rsidR="00BE352F" w:rsidRDefault="00BE352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8A9E" w14:textId="77777777" w:rsidR="00BE352F" w:rsidRDefault="00BE352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4DD76A60" w14:textId="77777777">
      <w:tc>
        <w:tcPr>
          <w:tcW w:w="0" w:type="auto"/>
          <w:tcMar>
            <w:top w:w="0" w:type="dxa"/>
            <w:left w:w="60" w:type="dxa"/>
            <w:bottom w:w="80" w:type="dxa"/>
            <w:right w:w="60" w:type="dxa"/>
          </w:tcMar>
          <w:vAlign w:val="center"/>
        </w:tcPr>
        <w:p w14:paraId="58B5EE29"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vAlign w:val="center"/>
        </w:tcPr>
        <w:p w14:paraId="567E74CF"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43</w:t>
          </w:r>
          <w:r>
            <w:rPr>
              <w:b/>
              <w:color w:val="000000"/>
            </w:rPr>
            <w:fldChar w:fldCharType="end"/>
          </w:r>
        </w:p>
      </w:tc>
      <w:tc>
        <w:tcPr>
          <w:tcW w:w="0" w:type="auto"/>
          <w:tcMar>
            <w:top w:w="0" w:type="dxa"/>
            <w:left w:w="60" w:type="dxa"/>
            <w:bottom w:w="80" w:type="dxa"/>
            <w:right w:w="60" w:type="dxa"/>
          </w:tcMar>
          <w:vAlign w:val="center"/>
        </w:tcPr>
        <w:p w14:paraId="4C5401D7" w14:textId="77777777" w:rsidR="00BE352F" w:rsidRDefault="00BE352F">
          <w:pPr>
            <w:jc w:val="right"/>
            <w:rPr>
              <w:b/>
              <w:color w:val="000000"/>
              <w:sz w:val="32"/>
            </w:rPr>
          </w:pPr>
          <w:r>
            <w:rPr>
              <w:b/>
              <w:color w:val="000000"/>
              <w:sz w:val="32"/>
            </w:rPr>
            <w:t>LT</w:t>
          </w:r>
        </w:p>
      </w:tc>
    </w:tr>
  </w:tbl>
  <w:p w14:paraId="5C18B379" w14:textId="77777777" w:rsidR="00BE352F" w:rsidRDefault="00BE352F">
    <w:pPr>
      <w:rPr>
        <w:b/>
        <w:color w:val="00000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571C0" w14:textId="77777777" w:rsidR="00BE352F" w:rsidRDefault="00BE352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622D" w14:textId="77777777" w:rsidR="00BE352F" w:rsidRDefault="00BE352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56"/>
      <w:gridCol w:w="2538"/>
      <w:gridCol w:w="3856"/>
    </w:tblGrid>
    <w:tr w:rsidR="00BE352F" w14:paraId="0445B116" w14:textId="77777777">
      <w:tc>
        <w:tcPr>
          <w:tcW w:w="0" w:type="auto"/>
          <w:tcMar>
            <w:top w:w="0" w:type="dxa"/>
            <w:left w:w="60" w:type="dxa"/>
            <w:bottom w:w="80" w:type="dxa"/>
            <w:right w:w="60" w:type="dxa"/>
          </w:tcMar>
        </w:tcPr>
        <w:p w14:paraId="76121E9F"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302DB851"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47</w:t>
          </w:r>
          <w:r>
            <w:rPr>
              <w:b/>
              <w:color w:val="000000"/>
            </w:rPr>
            <w:fldChar w:fldCharType="end"/>
          </w:r>
        </w:p>
      </w:tc>
      <w:tc>
        <w:tcPr>
          <w:tcW w:w="0" w:type="auto"/>
          <w:tcMar>
            <w:top w:w="0" w:type="dxa"/>
            <w:left w:w="60" w:type="dxa"/>
            <w:bottom w:w="80" w:type="dxa"/>
            <w:right w:w="60" w:type="dxa"/>
          </w:tcMar>
        </w:tcPr>
        <w:p w14:paraId="6504CD52" w14:textId="77777777" w:rsidR="00BE352F" w:rsidRDefault="00BE352F">
          <w:pPr>
            <w:jc w:val="right"/>
            <w:rPr>
              <w:b/>
              <w:color w:val="000000"/>
              <w:sz w:val="32"/>
            </w:rPr>
          </w:pPr>
          <w:r>
            <w:rPr>
              <w:b/>
              <w:color w:val="000000"/>
              <w:sz w:val="32"/>
            </w:rPr>
            <w:t>LT</w:t>
          </w:r>
        </w:p>
      </w:tc>
    </w:tr>
  </w:tbl>
  <w:p w14:paraId="00A75ADC" w14:textId="77777777" w:rsidR="00BE352F" w:rsidRDefault="00BE352F">
    <w:pPr>
      <w:rPr>
        <w:b/>
        <w:color w:val="00000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C7B2" w14:textId="77777777" w:rsidR="00BE352F" w:rsidRDefault="00BE352F"/>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CA6C1" w14:textId="77777777" w:rsidR="00BE352F" w:rsidRDefault="00BE352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5199077B" w14:textId="77777777">
      <w:tc>
        <w:tcPr>
          <w:tcW w:w="0" w:type="auto"/>
          <w:tcMar>
            <w:top w:w="0" w:type="dxa"/>
            <w:left w:w="60" w:type="dxa"/>
            <w:bottom w:w="80" w:type="dxa"/>
            <w:right w:w="60" w:type="dxa"/>
          </w:tcMar>
        </w:tcPr>
        <w:p w14:paraId="2B2E5BD3"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2C857536"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49</w:t>
          </w:r>
          <w:r>
            <w:rPr>
              <w:b/>
              <w:color w:val="000000"/>
            </w:rPr>
            <w:fldChar w:fldCharType="end"/>
          </w:r>
        </w:p>
      </w:tc>
      <w:tc>
        <w:tcPr>
          <w:tcW w:w="0" w:type="auto"/>
          <w:tcMar>
            <w:top w:w="0" w:type="dxa"/>
            <w:left w:w="60" w:type="dxa"/>
            <w:bottom w:w="80" w:type="dxa"/>
            <w:right w:w="60" w:type="dxa"/>
          </w:tcMar>
        </w:tcPr>
        <w:p w14:paraId="16EE5E01" w14:textId="77777777" w:rsidR="00BE352F" w:rsidRDefault="00BE352F">
          <w:pPr>
            <w:jc w:val="right"/>
            <w:rPr>
              <w:b/>
              <w:color w:val="000000"/>
              <w:sz w:val="32"/>
            </w:rPr>
          </w:pPr>
          <w:r>
            <w:rPr>
              <w:b/>
              <w:color w:val="000000"/>
              <w:sz w:val="32"/>
            </w:rPr>
            <w:t>LT</w:t>
          </w:r>
        </w:p>
      </w:tc>
    </w:tr>
  </w:tbl>
  <w:p w14:paraId="76C0DF95" w14:textId="77777777" w:rsidR="00BE352F" w:rsidRDefault="00BE352F">
    <w:pPr>
      <w:rPr>
        <w:b/>
        <w:color w:val="00000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9C566" w14:textId="77777777" w:rsidR="00BE352F" w:rsidRDefault="00BE35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EF76" w14:textId="77777777" w:rsidR="00BE352F" w:rsidRDefault="00BE352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617F" w14:textId="77777777" w:rsidR="00BE352F" w:rsidRDefault="00BE352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856"/>
      <w:gridCol w:w="2538"/>
      <w:gridCol w:w="3856"/>
    </w:tblGrid>
    <w:tr w:rsidR="00BE352F" w14:paraId="7358BA2B" w14:textId="77777777">
      <w:tc>
        <w:tcPr>
          <w:tcW w:w="0" w:type="auto"/>
          <w:tcMar>
            <w:top w:w="0" w:type="dxa"/>
            <w:left w:w="60" w:type="dxa"/>
            <w:bottom w:w="80" w:type="dxa"/>
            <w:right w:w="60" w:type="dxa"/>
          </w:tcMar>
          <w:vAlign w:val="center"/>
        </w:tcPr>
        <w:p w14:paraId="2D098CA5"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vAlign w:val="center"/>
        </w:tcPr>
        <w:p w14:paraId="626550C2"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54</w:t>
          </w:r>
          <w:r>
            <w:rPr>
              <w:b/>
              <w:color w:val="000000"/>
            </w:rPr>
            <w:fldChar w:fldCharType="end"/>
          </w:r>
        </w:p>
      </w:tc>
      <w:tc>
        <w:tcPr>
          <w:tcW w:w="0" w:type="auto"/>
          <w:tcMar>
            <w:top w:w="0" w:type="dxa"/>
            <w:left w:w="60" w:type="dxa"/>
            <w:bottom w:w="80" w:type="dxa"/>
            <w:right w:w="60" w:type="dxa"/>
          </w:tcMar>
          <w:vAlign w:val="center"/>
        </w:tcPr>
        <w:p w14:paraId="63D812DE" w14:textId="77777777" w:rsidR="00BE352F" w:rsidRDefault="00BE352F">
          <w:pPr>
            <w:jc w:val="right"/>
            <w:rPr>
              <w:b/>
              <w:color w:val="000000"/>
              <w:sz w:val="32"/>
            </w:rPr>
          </w:pPr>
          <w:r>
            <w:rPr>
              <w:b/>
              <w:color w:val="000000"/>
              <w:sz w:val="32"/>
            </w:rPr>
            <w:t>LT</w:t>
          </w:r>
        </w:p>
      </w:tc>
    </w:tr>
  </w:tbl>
  <w:p w14:paraId="2DEAF690" w14:textId="77777777" w:rsidR="00BE352F" w:rsidRDefault="00BE352F">
    <w:pPr>
      <w:rPr>
        <w:b/>
        <w:color w:val="00000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0B0D" w14:textId="77777777" w:rsidR="00BE352F" w:rsidRDefault="00BE352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343F" w14:textId="77777777" w:rsidR="00BE352F" w:rsidRDefault="00BE352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5711"/>
      <w:gridCol w:w="3759"/>
      <w:gridCol w:w="5712"/>
    </w:tblGrid>
    <w:tr w:rsidR="00BE352F" w14:paraId="2445A68C" w14:textId="77777777">
      <w:tc>
        <w:tcPr>
          <w:tcW w:w="0" w:type="auto"/>
          <w:tcMar>
            <w:top w:w="0" w:type="dxa"/>
            <w:left w:w="60" w:type="dxa"/>
            <w:bottom w:w="80" w:type="dxa"/>
            <w:right w:w="60" w:type="dxa"/>
          </w:tcMar>
        </w:tcPr>
        <w:p w14:paraId="54FF579C"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62D0DBCE"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55</w:t>
          </w:r>
          <w:r>
            <w:rPr>
              <w:b/>
              <w:color w:val="000000"/>
            </w:rPr>
            <w:fldChar w:fldCharType="end"/>
          </w:r>
        </w:p>
      </w:tc>
      <w:tc>
        <w:tcPr>
          <w:tcW w:w="0" w:type="auto"/>
          <w:tcMar>
            <w:top w:w="0" w:type="dxa"/>
            <w:left w:w="60" w:type="dxa"/>
            <w:bottom w:w="80" w:type="dxa"/>
            <w:right w:w="60" w:type="dxa"/>
          </w:tcMar>
        </w:tcPr>
        <w:p w14:paraId="018D4967" w14:textId="77777777" w:rsidR="00BE352F" w:rsidRDefault="00BE352F">
          <w:pPr>
            <w:jc w:val="right"/>
            <w:rPr>
              <w:b/>
              <w:color w:val="000000"/>
              <w:sz w:val="32"/>
            </w:rPr>
          </w:pPr>
          <w:r>
            <w:rPr>
              <w:b/>
              <w:color w:val="000000"/>
              <w:sz w:val="32"/>
            </w:rPr>
            <w:t>LT</w:t>
          </w:r>
        </w:p>
      </w:tc>
    </w:tr>
  </w:tbl>
  <w:p w14:paraId="1F131032" w14:textId="77777777" w:rsidR="00BE352F" w:rsidRDefault="00BE352F">
    <w:pPr>
      <w:rPr>
        <w:b/>
        <w:color w:val="00000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82E1" w14:textId="77777777" w:rsidR="00BE352F" w:rsidRDefault="00BE35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083"/>
      <w:gridCol w:w="2084"/>
      <w:gridCol w:w="4083"/>
    </w:tblGrid>
    <w:tr w:rsidR="00BE352F" w14:paraId="54A428A2" w14:textId="77777777">
      <w:trPr>
        <w:trHeight w:val="240"/>
      </w:trPr>
      <w:tc>
        <w:tcPr>
          <w:tcW w:w="0" w:type="auto"/>
          <w:tcMar>
            <w:left w:w="100" w:type="dxa"/>
            <w:right w:w="100" w:type="dxa"/>
          </w:tcMar>
        </w:tcPr>
        <w:p w14:paraId="75E81C5B" w14:textId="77777777" w:rsidR="00BE352F" w:rsidRDefault="00BE352F">
          <w:pPr>
            <w:rPr>
              <w:b/>
              <w:color w:val="000000"/>
            </w:rPr>
          </w:pPr>
          <w:r>
            <w:rPr>
              <w:b/>
              <w:color w:val="000000"/>
              <w:sz w:val="32"/>
            </w:rPr>
            <w:t>LT</w:t>
          </w:r>
        </w:p>
      </w:tc>
      <w:tc>
        <w:tcPr>
          <w:tcW w:w="0" w:type="auto"/>
          <w:tcMar>
            <w:left w:w="100" w:type="dxa"/>
            <w:right w:w="100" w:type="dxa"/>
          </w:tcMar>
        </w:tcPr>
        <w:p w14:paraId="6494D69A"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8</w:t>
          </w:r>
          <w:r>
            <w:rPr>
              <w:b/>
              <w:color w:val="000000"/>
            </w:rPr>
            <w:fldChar w:fldCharType="end"/>
          </w:r>
        </w:p>
      </w:tc>
      <w:tc>
        <w:tcPr>
          <w:tcW w:w="0" w:type="auto"/>
          <w:tcMar>
            <w:left w:w="100" w:type="dxa"/>
            <w:right w:w="100" w:type="dxa"/>
          </w:tcMar>
        </w:tcPr>
        <w:p w14:paraId="3CF9C26A" w14:textId="77777777" w:rsidR="00BE352F" w:rsidRDefault="00BE352F">
          <w:pPr>
            <w:jc w:val="right"/>
            <w:rPr>
              <w:b/>
              <w:color w:val="000000"/>
              <w:sz w:val="32"/>
            </w:rPr>
          </w:pPr>
          <w:r>
            <w:rPr>
              <w:b/>
              <w:color w:val="000000"/>
              <w:sz w:val="32"/>
            </w:rPr>
            <w:t>LT</w:t>
          </w:r>
        </w:p>
      </w:tc>
    </w:tr>
  </w:tbl>
  <w:p w14:paraId="38B7BDAC" w14:textId="77777777" w:rsidR="00BE352F" w:rsidRDefault="00BE352F">
    <w:pPr>
      <w:rPr>
        <w:b/>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AD65" w14:textId="77777777" w:rsidR="00BE352F" w:rsidRDefault="00BE352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E539" w14:textId="77777777" w:rsidR="00BE352F" w:rsidRDefault="00BE352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203"/>
      <w:gridCol w:w="1844"/>
      <w:gridCol w:w="4203"/>
    </w:tblGrid>
    <w:tr w:rsidR="00BE352F" w14:paraId="140F48D3" w14:textId="77777777">
      <w:trPr>
        <w:trHeight w:val="160"/>
      </w:trPr>
      <w:tc>
        <w:tcPr>
          <w:tcW w:w="0" w:type="auto"/>
          <w:tcMar>
            <w:top w:w="0" w:type="dxa"/>
            <w:left w:w="60" w:type="dxa"/>
            <w:bottom w:w="80" w:type="dxa"/>
            <w:right w:w="60" w:type="dxa"/>
          </w:tcMar>
        </w:tcPr>
        <w:p w14:paraId="66F4999D" w14:textId="77777777" w:rsidR="00BE352F" w:rsidRDefault="00BE352F">
          <w:pPr>
            <w:rPr>
              <w:b/>
              <w:color w:val="000000"/>
            </w:rPr>
          </w:pPr>
          <w:r>
            <w:rPr>
              <w:b/>
              <w:color w:val="000000"/>
              <w:sz w:val="32"/>
            </w:rPr>
            <w:t>LT</w:t>
          </w:r>
        </w:p>
      </w:tc>
      <w:tc>
        <w:tcPr>
          <w:tcW w:w="0" w:type="auto"/>
          <w:tcMar>
            <w:top w:w="0" w:type="dxa"/>
            <w:left w:w="60" w:type="dxa"/>
            <w:bottom w:w="80" w:type="dxa"/>
            <w:right w:w="60" w:type="dxa"/>
          </w:tcMar>
        </w:tcPr>
        <w:p w14:paraId="50B606F5" w14:textId="77777777" w:rsidR="00BE352F" w:rsidRDefault="00BE352F">
          <w:pPr>
            <w:jc w:val="center"/>
            <w:rPr>
              <w:b/>
              <w:color w:val="000000"/>
              <w:sz w:val="32"/>
            </w:rPr>
          </w:pPr>
          <w:r>
            <w:rPr>
              <w:b/>
              <w:color w:val="000000"/>
            </w:rPr>
            <w:fldChar w:fldCharType="begin"/>
          </w:r>
          <w:r>
            <w:rPr>
              <w:b/>
              <w:color w:val="000000"/>
            </w:rPr>
            <w:instrText>PAGE</w:instrText>
          </w:r>
          <w:r>
            <w:rPr>
              <w:b/>
              <w:color w:val="000000"/>
            </w:rPr>
            <w:fldChar w:fldCharType="separate"/>
          </w:r>
          <w:r w:rsidR="004A5EA0">
            <w:rPr>
              <w:b/>
              <w:color w:val="000000"/>
            </w:rPr>
            <w:t>12</w:t>
          </w:r>
          <w:r>
            <w:rPr>
              <w:b/>
              <w:color w:val="000000"/>
            </w:rPr>
            <w:fldChar w:fldCharType="end"/>
          </w:r>
        </w:p>
      </w:tc>
      <w:tc>
        <w:tcPr>
          <w:tcW w:w="0" w:type="auto"/>
          <w:tcMar>
            <w:top w:w="0" w:type="dxa"/>
            <w:left w:w="60" w:type="dxa"/>
            <w:bottom w:w="80" w:type="dxa"/>
            <w:right w:w="60" w:type="dxa"/>
          </w:tcMar>
        </w:tcPr>
        <w:p w14:paraId="7235C68F" w14:textId="77777777" w:rsidR="00BE352F" w:rsidRDefault="00BE352F">
          <w:pPr>
            <w:jc w:val="right"/>
            <w:rPr>
              <w:b/>
              <w:color w:val="000000"/>
              <w:sz w:val="32"/>
            </w:rPr>
          </w:pPr>
          <w:r>
            <w:rPr>
              <w:b/>
              <w:color w:val="000000"/>
              <w:sz w:val="32"/>
            </w:rPr>
            <w:t>LT</w:t>
          </w:r>
        </w:p>
      </w:tc>
    </w:tr>
  </w:tbl>
  <w:p w14:paraId="29697748" w14:textId="77777777" w:rsidR="00BE352F" w:rsidRDefault="00BE352F">
    <w:pPr>
      <w:rPr>
        <w:b/>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529E" w14:textId="77777777" w:rsidR="00BE352F" w:rsidRDefault="00BE3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B62D3" w14:textId="77777777" w:rsidR="00BE352F" w:rsidRDefault="00BE352F">
      <w:r>
        <w:separator/>
      </w:r>
    </w:p>
  </w:footnote>
  <w:footnote w:type="continuationSeparator" w:id="0">
    <w:p w14:paraId="362EEA82" w14:textId="77777777" w:rsidR="00BE352F" w:rsidRDefault="00BE3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23DE9" w14:textId="77777777" w:rsidR="00BE352F" w:rsidRDefault="00BE352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3F99" w14:textId="77777777" w:rsidR="00BE352F" w:rsidRDefault="00BE352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4EDC" w14:textId="77777777" w:rsidR="00BE352F" w:rsidRDefault="00BE35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527C" w14:textId="77777777" w:rsidR="00BE352F" w:rsidRDefault="00BE352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CE10" w14:textId="77777777" w:rsidR="00BE352F" w:rsidRDefault="00BE352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BBDEC" w14:textId="77777777" w:rsidR="00BE352F" w:rsidRDefault="00BE352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5257" w14:textId="77777777" w:rsidR="00BE352F" w:rsidRDefault="00BE352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1A794" w14:textId="77777777" w:rsidR="00BE352F" w:rsidRDefault="00BE352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A7B0" w14:textId="77777777" w:rsidR="00BE352F" w:rsidRDefault="00BE352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CC06" w14:textId="77777777" w:rsidR="00BE352F" w:rsidRDefault="00BE352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293B" w14:textId="77777777" w:rsidR="00BE352F" w:rsidRDefault="00BE35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DBCC" w14:textId="77777777" w:rsidR="00BE352F" w:rsidRDefault="00BE352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9A3C" w14:textId="77777777" w:rsidR="00BE352F" w:rsidRDefault="00BE352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219C" w14:textId="77777777" w:rsidR="00BE352F" w:rsidRDefault="00BE352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BB581" w14:textId="77777777" w:rsidR="00BE352F" w:rsidRDefault="00BE352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CD80E" w14:textId="77777777" w:rsidR="00BE352F" w:rsidRDefault="00BE352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FFE2" w14:textId="77777777" w:rsidR="00BE352F" w:rsidRDefault="00BE352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515F1" w14:textId="77777777" w:rsidR="00BE352F" w:rsidRDefault="00BE352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51FEB" w14:textId="77777777" w:rsidR="00BE352F" w:rsidRDefault="00BE352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B3B8" w14:textId="77777777" w:rsidR="00BE352F" w:rsidRDefault="00BE352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C5B5" w14:textId="77777777" w:rsidR="00BE352F" w:rsidRDefault="00BE352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49E4" w14:textId="77777777" w:rsidR="00BE352F" w:rsidRDefault="00BE35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A655" w14:textId="77777777" w:rsidR="00BE352F" w:rsidRDefault="00BE352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2CA3" w14:textId="77777777" w:rsidR="00BE352F" w:rsidRDefault="00BE352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C3AF" w14:textId="77777777" w:rsidR="00BE352F" w:rsidRDefault="00BE352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5EF32" w14:textId="77777777" w:rsidR="00BE352F" w:rsidRDefault="00BE352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659F6" w14:textId="77777777" w:rsidR="00BE352F" w:rsidRDefault="00BE352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C0F4" w14:textId="77777777" w:rsidR="00BE352F" w:rsidRDefault="00BE352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57B5" w14:textId="77777777" w:rsidR="00BE352F" w:rsidRDefault="00BE352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9A19" w14:textId="77777777" w:rsidR="00BE352F" w:rsidRDefault="00BE352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69D7" w14:textId="77777777" w:rsidR="00BE352F" w:rsidRDefault="00BE352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D2AF" w14:textId="77777777" w:rsidR="00BE352F" w:rsidRDefault="00BE352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278F" w14:textId="77777777" w:rsidR="00BE352F" w:rsidRDefault="00BE35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C4E8" w14:textId="77777777" w:rsidR="00BE352F" w:rsidRDefault="00BE352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32071" w14:textId="77777777" w:rsidR="00BE352F" w:rsidRDefault="00BE352F"/>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7181" w14:textId="77777777" w:rsidR="00BE352F" w:rsidRDefault="00BE352F"/>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DDA3" w14:textId="77777777" w:rsidR="00BE352F" w:rsidRDefault="00BE352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8253" w14:textId="77777777" w:rsidR="00BE352F" w:rsidRDefault="00BE352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ABC1" w14:textId="77777777" w:rsidR="00BE352F" w:rsidRDefault="00BE352F"/>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F0392" w14:textId="77777777" w:rsidR="00BE352F" w:rsidRDefault="00BE35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2BBA" w14:textId="77777777" w:rsidR="00BE352F" w:rsidRDefault="00BE352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7E3B" w14:textId="77777777" w:rsidR="00BE352F" w:rsidRDefault="00BE352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CCFB" w14:textId="77777777" w:rsidR="00BE352F" w:rsidRDefault="00BE352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8DC9" w14:textId="77777777" w:rsidR="00BE352F" w:rsidRDefault="00BE352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15F1" w14:textId="77777777" w:rsidR="00BE352F" w:rsidRDefault="00BE35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8E8"/>
    <w:rsid w:val="00003C2A"/>
    <w:rsid w:val="00007FB7"/>
    <w:rsid w:val="0005381C"/>
    <w:rsid w:val="00092D83"/>
    <w:rsid w:val="00097862"/>
    <w:rsid w:val="000B1708"/>
    <w:rsid w:val="000B2550"/>
    <w:rsid w:val="000B4BD7"/>
    <w:rsid w:val="000C59E7"/>
    <w:rsid w:val="001044B2"/>
    <w:rsid w:val="0012007E"/>
    <w:rsid w:val="001262F3"/>
    <w:rsid w:val="00180511"/>
    <w:rsid w:val="0018335D"/>
    <w:rsid w:val="00196C27"/>
    <w:rsid w:val="001B7A89"/>
    <w:rsid w:val="001F1AB8"/>
    <w:rsid w:val="001F5FE5"/>
    <w:rsid w:val="001F68B6"/>
    <w:rsid w:val="00235FFB"/>
    <w:rsid w:val="00274FB4"/>
    <w:rsid w:val="002A5240"/>
    <w:rsid w:val="002B607F"/>
    <w:rsid w:val="002F0F74"/>
    <w:rsid w:val="00313592"/>
    <w:rsid w:val="00321FB3"/>
    <w:rsid w:val="003362EB"/>
    <w:rsid w:val="0036593A"/>
    <w:rsid w:val="0037643A"/>
    <w:rsid w:val="003A080F"/>
    <w:rsid w:val="003B0E4A"/>
    <w:rsid w:val="003B1EE3"/>
    <w:rsid w:val="003D6BE0"/>
    <w:rsid w:val="003F0269"/>
    <w:rsid w:val="00450878"/>
    <w:rsid w:val="00460273"/>
    <w:rsid w:val="0046189C"/>
    <w:rsid w:val="004678CD"/>
    <w:rsid w:val="004A5EA0"/>
    <w:rsid w:val="004B53EA"/>
    <w:rsid w:val="004D0B61"/>
    <w:rsid w:val="004E1EF5"/>
    <w:rsid w:val="005064FF"/>
    <w:rsid w:val="00535D32"/>
    <w:rsid w:val="006501F7"/>
    <w:rsid w:val="0065029A"/>
    <w:rsid w:val="006578BE"/>
    <w:rsid w:val="006A5810"/>
    <w:rsid w:val="006B0505"/>
    <w:rsid w:val="006C4E1E"/>
    <w:rsid w:val="006C5C94"/>
    <w:rsid w:val="006D4AFE"/>
    <w:rsid w:val="007045D5"/>
    <w:rsid w:val="00731B49"/>
    <w:rsid w:val="00736564"/>
    <w:rsid w:val="007432A1"/>
    <w:rsid w:val="00785769"/>
    <w:rsid w:val="007E0949"/>
    <w:rsid w:val="007F5D2D"/>
    <w:rsid w:val="00813A1F"/>
    <w:rsid w:val="008416F9"/>
    <w:rsid w:val="00886240"/>
    <w:rsid w:val="00893144"/>
    <w:rsid w:val="0089523D"/>
    <w:rsid w:val="008A30AD"/>
    <w:rsid w:val="008D5688"/>
    <w:rsid w:val="008F0E72"/>
    <w:rsid w:val="00905B7D"/>
    <w:rsid w:val="009201B2"/>
    <w:rsid w:val="00923A42"/>
    <w:rsid w:val="009E5266"/>
    <w:rsid w:val="00A23941"/>
    <w:rsid w:val="00A5077E"/>
    <w:rsid w:val="00A741CD"/>
    <w:rsid w:val="00A74F34"/>
    <w:rsid w:val="00A77B3E"/>
    <w:rsid w:val="00A81CB3"/>
    <w:rsid w:val="00A82E74"/>
    <w:rsid w:val="00A8616B"/>
    <w:rsid w:val="00A96105"/>
    <w:rsid w:val="00AA232E"/>
    <w:rsid w:val="00AB7038"/>
    <w:rsid w:val="00B05BF5"/>
    <w:rsid w:val="00B12015"/>
    <w:rsid w:val="00B15C2E"/>
    <w:rsid w:val="00B32A2A"/>
    <w:rsid w:val="00B37833"/>
    <w:rsid w:val="00B42D45"/>
    <w:rsid w:val="00BC4FB1"/>
    <w:rsid w:val="00BE352F"/>
    <w:rsid w:val="00BF5E1E"/>
    <w:rsid w:val="00C1092B"/>
    <w:rsid w:val="00C11613"/>
    <w:rsid w:val="00C17A40"/>
    <w:rsid w:val="00C400D3"/>
    <w:rsid w:val="00C41AD5"/>
    <w:rsid w:val="00C47598"/>
    <w:rsid w:val="00C510CF"/>
    <w:rsid w:val="00C62E09"/>
    <w:rsid w:val="00C766EA"/>
    <w:rsid w:val="00C76B03"/>
    <w:rsid w:val="00CA2A55"/>
    <w:rsid w:val="00CC7509"/>
    <w:rsid w:val="00D05D5F"/>
    <w:rsid w:val="00D12471"/>
    <w:rsid w:val="00D137D2"/>
    <w:rsid w:val="00D17A1A"/>
    <w:rsid w:val="00D45B2E"/>
    <w:rsid w:val="00D567C3"/>
    <w:rsid w:val="00DC2981"/>
    <w:rsid w:val="00E0420B"/>
    <w:rsid w:val="00E168CE"/>
    <w:rsid w:val="00E870C2"/>
    <w:rsid w:val="00EB31E3"/>
    <w:rsid w:val="00EB43D4"/>
    <w:rsid w:val="00EB7BB2"/>
    <w:rsid w:val="00EC0586"/>
    <w:rsid w:val="00EC398E"/>
    <w:rsid w:val="00ED6AAB"/>
    <w:rsid w:val="00F14385"/>
    <w:rsid w:val="00FA398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6F52D"/>
  <w15:docId w15:val="{5FEC64C0-8370-4A23-9016-4521911A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rsid w:val="00EF7B96"/>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F7B9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EF7B96"/>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EF7B9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Turinys1">
    <w:name w:val="toc 1"/>
    <w:basedOn w:val="prastasis"/>
    <w:next w:val="prastasis"/>
    <w:autoRedefine/>
    <w:rsid w:val="00805BCE"/>
  </w:style>
  <w:style w:type="character" w:styleId="Hipersaitas">
    <w:name w:val="Hyperlink"/>
    <w:basedOn w:val="Numatytasispastraiposriftas"/>
    <w:rsid w:val="00EF7B96"/>
    <w:rPr>
      <w:color w:val="0000FF"/>
      <w:u w:val="single"/>
    </w:rPr>
  </w:style>
  <w:style w:type="paragraph" w:styleId="Turinys2">
    <w:name w:val="toc 2"/>
    <w:basedOn w:val="prastasis"/>
    <w:next w:val="prastasis"/>
    <w:autoRedefine/>
    <w:rsid w:val="00805BCE"/>
    <w:pPr>
      <w:ind w:left="240"/>
    </w:pPr>
  </w:style>
  <w:style w:type="paragraph" w:styleId="Turinys3">
    <w:name w:val="toc 3"/>
    <w:basedOn w:val="prastasis"/>
    <w:next w:val="prastasis"/>
    <w:autoRedefine/>
    <w:rsid w:val="00805BCE"/>
    <w:pPr>
      <w:ind w:left="480"/>
    </w:pPr>
  </w:style>
  <w:style w:type="paragraph" w:styleId="Turinys4">
    <w:name w:val="toc 4"/>
    <w:basedOn w:val="prastasis"/>
    <w:next w:val="prastasis"/>
    <w:autoRedefine/>
    <w:rsid w:val="00805BCE"/>
    <w:pPr>
      <w:ind w:left="720"/>
    </w:pPr>
  </w:style>
  <w:style w:type="character" w:styleId="Grietas">
    <w:name w:val="Strong"/>
    <w:basedOn w:val="Numatytasispastraiposriftas"/>
    <w:uiPriority w:val="22"/>
    <w:qFormat/>
    <w:rsid w:val="008A30AD"/>
    <w:rPr>
      <w:b/>
      <w:bCs/>
    </w:rPr>
  </w:style>
  <w:style w:type="character" w:styleId="Komentaronuoroda">
    <w:name w:val="annotation reference"/>
    <w:basedOn w:val="Numatytasispastraiposriftas"/>
    <w:semiHidden/>
    <w:unhideWhenUsed/>
    <w:rsid w:val="00D137D2"/>
    <w:rPr>
      <w:sz w:val="16"/>
      <w:szCs w:val="16"/>
    </w:rPr>
  </w:style>
  <w:style w:type="paragraph" w:styleId="Komentarotekstas">
    <w:name w:val="annotation text"/>
    <w:basedOn w:val="prastasis"/>
    <w:link w:val="KomentarotekstasDiagrama"/>
    <w:semiHidden/>
    <w:unhideWhenUsed/>
    <w:rsid w:val="00D137D2"/>
    <w:rPr>
      <w:sz w:val="20"/>
      <w:szCs w:val="20"/>
    </w:rPr>
  </w:style>
  <w:style w:type="character" w:customStyle="1" w:styleId="KomentarotekstasDiagrama">
    <w:name w:val="Komentaro tekstas Diagrama"/>
    <w:basedOn w:val="Numatytasispastraiposriftas"/>
    <w:link w:val="Komentarotekstas"/>
    <w:semiHidden/>
    <w:rsid w:val="00D137D2"/>
  </w:style>
  <w:style w:type="paragraph" w:styleId="Komentarotema">
    <w:name w:val="annotation subject"/>
    <w:basedOn w:val="Komentarotekstas"/>
    <w:next w:val="Komentarotekstas"/>
    <w:link w:val="KomentarotemaDiagrama"/>
    <w:semiHidden/>
    <w:unhideWhenUsed/>
    <w:rsid w:val="00D137D2"/>
    <w:rPr>
      <w:b/>
      <w:bCs/>
    </w:rPr>
  </w:style>
  <w:style w:type="character" w:customStyle="1" w:styleId="KomentarotemaDiagrama">
    <w:name w:val="Komentaro tema Diagrama"/>
    <w:basedOn w:val="KomentarotekstasDiagrama"/>
    <w:link w:val="Komentarotema"/>
    <w:semiHidden/>
    <w:rsid w:val="00D137D2"/>
    <w:rPr>
      <w:b/>
      <w:bCs/>
    </w:rPr>
  </w:style>
  <w:style w:type="paragraph" w:styleId="Debesliotekstas">
    <w:name w:val="Balloon Text"/>
    <w:basedOn w:val="prastasis"/>
    <w:link w:val="DebesliotekstasDiagrama"/>
    <w:semiHidden/>
    <w:unhideWhenUsed/>
    <w:rsid w:val="00D137D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137D2"/>
    <w:rPr>
      <w:rFonts w:ascii="Segoe UI" w:hAnsi="Segoe UI" w:cs="Segoe UI"/>
      <w:sz w:val="18"/>
      <w:szCs w:val="18"/>
    </w:rPr>
  </w:style>
  <w:style w:type="paragraph" w:customStyle="1" w:styleId="Prezidentas">
    <w:name w:val="Prezidentas"/>
    <w:basedOn w:val="prastasis"/>
    <w:rsid w:val="0036593A"/>
    <w:pPr>
      <w:tabs>
        <w:tab w:val="right" w:pos="9808"/>
      </w:tabs>
      <w:suppressAutoHyphens/>
      <w:autoSpaceDE w:val="0"/>
      <w:autoSpaceDN w:val="0"/>
      <w:adjustRightInd w:val="0"/>
      <w:spacing w:line="288" w:lineRule="auto"/>
      <w:ind w:firstLine="720"/>
    </w:pPr>
    <w:rPr>
      <w:rFonts w:ascii="Arial" w:hAnsi="Arial" w:cs="Arial"/>
      <w:caps/>
      <w:noProof w:val="0"/>
      <w:color w:val="00000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footer" Target="footer40.xml"/><Relationship Id="rId5" Type="http://schemas.openxmlformats.org/officeDocument/2006/relationships/endnotes" Target="end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43.xm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yperlink" Target="https://www.isf.lt/uploads/2021-2027/Funkcij%C5%B3%20paskirstymas/Funkciju%20paskirstymo%20aprasas.odt" TargetMode="Externa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2669</TotalTime>
  <Pages>55</Pages>
  <Words>11741</Words>
  <Characters>89505</Characters>
  <Application>Microsoft Office Word</Application>
  <DocSecurity>0</DocSecurity>
  <Lines>745</Lines>
  <Paragraphs>202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Plotnikovienė</dc:creator>
  <cp:lastModifiedBy>Dovilė Jegerskaitė-Kinaitienė</cp:lastModifiedBy>
  <cp:revision>64</cp:revision>
  <dcterms:created xsi:type="dcterms:W3CDTF">2022-10-17T13:32:00Z</dcterms:created>
  <dcterms:modified xsi:type="dcterms:W3CDTF">2022-10-21T13:07:00Z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885e95b223d690c7804f96e657833654ee1b93365e27ef1b109a450dfd9c216f</vt:lpwstr>
  </property>
</Properties>
</file>